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6"/>
        <w:keepNext w:val="0"/>
        <w:keepLines w:val="0"/>
        <w:pageBreakBefore w:val="0"/>
        <w:widowControl w:val="0"/>
        <w:kinsoku/>
        <w:wordWrap/>
        <w:overflowPunct w:val="0"/>
        <w:topLinePunct w:val="0"/>
        <w:autoSpaceDE/>
        <w:autoSpaceDN/>
        <w:bidi w:val="0"/>
        <w:adjustRightInd w:val="0"/>
        <w:spacing w:beforeLines="0" w:afterLines="0" w:line="59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广东省韩江流域水质保护条例</w:t>
      </w:r>
    </w:p>
    <w:p>
      <w:pPr>
        <w:pStyle w:val="2"/>
        <w:overflowPunct w:val="0"/>
        <w:spacing w:beforeLines="0" w:afterLines="0" w:line="590" w:lineRule="exact"/>
        <w:rPr>
          <w:rFonts w:hint="eastAsia" w:ascii="宋体" w:hAnsi="宋体"/>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632" w:leftChars="200" w:right="632" w:rightChars="200" w:firstLine="0" w:firstLineChars="0"/>
        <w:jc w:val="both"/>
        <w:textAlignment w:val="auto"/>
        <w:outlineLvl w:val="9"/>
        <w:rPr>
          <w:rFonts w:hint="eastAsia" w:ascii="宋体" w:hAnsi="宋体" w:eastAsia="楷体_GB2312"/>
          <w:bCs/>
          <w:szCs w:val="32"/>
        </w:rPr>
      </w:pPr>
      <w:r>
        <w:rPr>
          <w:rFonts w:hint="eastAsia" w:ascii="宋体" w:hAnsi="宋体" w:eastAsia="楷体_GB2312"/>
          <w:bCs/>
          <w:szCs w:val="32"/>
        </w:rPr>
        <w:t>（2001年1月17日广东省第九届人民代表大会常务委员会第二十二次会议通过  根据2014年9月25日广东省第十二届人民代表大会常务委员会第十一次会议《关于修改〈广东省商品房预售管理条例〉等二十七项地方性法规的决定》</w:t>
      </w:r>
      <w:r>
        <w:rPr>
          <w:rFonts w:hint="eastAsia" w:ascii="宋体" w:hAnsi="宋体" w:eastAsia="楷体_GB2312"/>
          <w:bCs/>
          <w:szCs w:val="32"/>
          <w:lang w:val="en-US" w:eastAsia="zh-CN"/>
        </w:rPr>
        <w:t>第一次</w:t>
      </w:r>
      <w:r>
        <w:rPr>
          <w:rFonts w:hint="eastAsia" w:ascii="宋体" w:hAnsi="宋体" w:eastAsia="楷体_GB2312"/>
          <w:bCs/>
          <w:szCs w:val="32"/>
        </w:rPr>
        <w:t>修正</w:t>
      </w:r>
      <w:r>
        <w:rPr>
          <w:rFonts w:hint="eastAsia" w:ascii="宋体" w:hAnsi="宋体" w:eastAsia="楷体_GB2312"/>
          <w:bCs/>
          <w:szCs w:val="32"/>
          <w:lang w:val="en-US" w:eastAsia="zh-CN"/>
        </w:rPr>
        <w:t xml:space="preserve">  根据2018年11月29日广东省第十三届人民代表大会常务委员会第七次会议《关于修改</w:t>
      </w:r>
      <w:r>
        <w:rPr>
          <w:rFonts w:hint="eastAsia" w:ascii="宋体" w:hAnsi="宋体" w:eastAsia="黑体" w:cs="黑体"/>
          <w:bCs/>
          <w:szCs w:val="32"/>
          <w:lang w:val="en-US" w:eastAsia="zh-CN"/>
        </w:rPr>
        <w:t>〈</w:t>
      </w:r>
      <w:r>
        <w:rPr>
          <w:rFonts w:hint="eastAsia" w:ascii="宋体" w:hAnsi="宋体" w:eastAsia="楷体_GB2312"/>
          <w:bCs/>
          <w:szCs w:val="32"/>
          <w:lang w:val="en-US" w:eastAsia="zh-CN"/>
        </w:rPr>
        <w:t>广东省环境保护条例</w:t>
      </w:r>
      <w:r>
        <w:rPr>
          <w:rFonts w:hint="eastAsia" w:ascii="宋体" w:hAnsi="宋体" w:eastAsia="黑体" w:cs="黑体"/>
          <w:bCs/>
          <w:szCs w:val="32"/>
          <w:lang w:val="en-US" w:eastAsia="zh-CN"/>
        </w:rPr>
        <w:t>〉</w:t>
      </w:r>
      <w:r>
        <w:rPr>
          <w:rFonts w:hint="eastAsia" w:ascii="宋体" w:hAnsi="宋体" w:eastAsia="楷体_GB2312"/>
          <w:bCs/>
          <w:szCs w:val="32"/>
          <w:lang w:val="en-US" w:eastAsia="zh-CN"/>
        </w:rPr>
        <w:t>等十三项地方性法规的决定》第二次修正</w:t>
      </w:r>
      <w:r>
        <w:rPr>
          <w:rFonts w:hint="eastAsia" w:ascii="宋体" w:hAnsi="宋体" w:eastAsia="楷体_GB2312"/>
          <w:bCs/>
          <w:szCs w:val="32"/>
        </w:rPr>
        <w:t>）</w:t>
      </w:r>
    </w:p>
    <w:p>
      <w:pPr>
        <w:pStyle w:val="7"/>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left="0" w:leftChars="0" w:right="632" w:rightChars="200" w:firstLine="0" w:firstLineChars="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第一条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为保护本省韩江流域水质，防治水污染，保障饮用水安全，促进韩江流域社会经济的可持续发展，根据《中华人民共和国水污染防治法》及有关法律、法规，结合韩江流域的实际，制定本条例。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本条例适用于本省韩江流域的水体水质保护。</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本省韩江流域（以下简称流域）的范围包括韩江干流、梅江、汀江、梅潭河本省境内河段的集雨面积。流域行政区域包括汕头市的汕头市区、澄海市；潮州市的湘桥区、潮安县；梅州市的梅江区、梅县、蕉岭县、大埔县、丰顺县、五华县、兴宁市、平远县；河源市的龙川县、紫金县。</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流域沿海海域水质保护不适用本条例。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流域内各级人民政府对本行政区域内的水环境质量负责，实行水环境质量行政首长负责制。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流域内各市、县人民政府应当每年至少一次向上级人民政府和同级人民代表大会常务委员会报告水质保护情况。</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流域内各级人民政府应当把水质保护工作纳入国民经济和社会发展规划，每年从财政中安排与社会经济发展相适应的专项经费用于水质保护。</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省和流域内各市、县人民政府环境保护</w:t>
      </w:r>
      <w:r>
        <w:rPr>
          <w:rFonts w:hint="eastAsia" w:ascii="宋体" w:hAnsi="宋体" w:eastAsia="仿宋_GB2312" w:cs="仿宋_GB2312"/>
          <w:b w:val="0"/>
          <w:bCs/>
          <w:i w:val="0"/>
          <w:iCs w:val="0"/>
          <w:szCs w:val="32"/>
          <w:u w:val="none"/>
        </w:rPr>
        <w:t>行政</w:t>
      </w:r>
      <w:r>
        <w:rPr>
          <w:rFonts w:hint="eastAsia" w:ascii="宋体" w:hAnsi="宋体" w:eastAsia="仿宋_GB2312" w:cs="仿宋_GB2312"/>
          <w:b w:val="0"/>
          <w:bCs/>
          <w:szCs w:val="32"/>
        </w:rPr>
        <w:t>主管部门对本行政区域内的水质保护工作实施统一监督管理。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水利、卫生、农业、林业、渔业、国土、工商、经贸、旅游、海事、建设、规划、交通等行政管理部门应当根据各自的职责，协同人民政府环境保护</w:t>
      </w:r>
      <w:r>
        <w:rPr>
          <w:rFonts w:hint="eastAsia" w:ascii="宋体" w:hAnsi="宋体" w:eastAsia="仿宋_GB2312" w:cs="仿宋_GB2312"/>
          <w:b w:val="0"/>
          <w:bCs/>
          <w:i w:val="0"/>
          <w:iCs w:val="0"/>
          <w:szCs w:val="32"/>
          <w:u w:val="none"/>
        </w:rPr>
        <w:t>行政</w:t>
      </w:r>
      <w:r>
        <w:rPr>
          <w:rFonts w:hint="eastAsia" w:ascii="宋体" w:hAnsi="宋体" w:eastAsia="仿宋_GB2312" w:cs="仿宋_GB2312"/>
          <w:b w:val="0"/>
          <w:bCs/>
          <w:szCs w:val="32"/>
        </w:rPr>
        <w:t>主管部门对水质保护实施监督管理。对不履行法定职责的，由同级人民政府处理。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省人民政府环境保护</w:t>
      </w:r>
      <w:r>
        <w:rPr>
          <w:rFonts w:hint="eastAsia" w:ascii="宋体" w:hAnsi="宋体" w:eastAsia="仿宋_GB2312" w:cs="仿宋_GB2312"/>
          <w:b w:val="0"/>
          <w:bCs/>
          <w:i w:val="0"/>
          <w:iCs w:val="0"/>
          <w:szCs w:val="32"/>
          <w:u w:val="none"/>
        </w:rPr>
        <w:t>行政</w:t>
      </w:r>
      <w:r>
        <w:rPr>
          <w:rFonts w:hint="eastAsia" w:ascii="宋体" w:hAnsi="宋体" w:eastAsia="仿宋_GB2312" w:cs="仿宋_GB2312"/>
          <w:b w:val="0"/>
          <w:bCs/>
          <w:szCs w:val="32"/>
        </w:rPr>
        <w:t>主管部门会同省人民政府水行政主管部门和流域内各市人民政府制定韩江流域水质保护规划，报省人民政府批准实施。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该规划需要调整的，由省人民政府环境保护</w:t>
      </w:r>
      <w:r>
        <w:rPr>
          <w:rFonts w:hint="eastAsia" w:ascii="宋体" w:hAnsi="宋体" w:eastAsia="仿宋_GB2312" w:cs="仿宋_GB2312"/>
          <w:b w:val="0"/>
          <w:bCs/>
          <w:i w:val="0"/>
          <w:iCs w:val="0"/>
          <w:szCs w:val="32"/>
          <w:u w:val="none"/>
        </w:rPr>
        <w:t>行政</w:t>
      </w:r>
      <w:r>
        <w:rPr>
          <w:rFonts w:hint="eastAsia" w:ascii="宋体" w:hAnsi="宋体" w:eastAsia="仿宋_GB2312" w:cs="仿宋_GB2312"/>
          <w:b w:val="0"/>
          <w:bCs/>
          <w:szCs w:val="32"/>
        </w:rPr>
        <w:t>主管部门报省人民政府批准。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流域内各级人民政府应当采取措施，保证本行政区域水环境功能区和边界断面水质符合规定的标准。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流域内实施主要水污染物排放总量控制制度。</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省人民政府环境保护</w:t>
      </w:r>
      <w:r>
        <w:rPr>
          <w:rFonts w:hint="eastAsia" w:ascii="宋体" w:hAnsi="宋体" w:eastAsia="仿宋_GB2312" w:cs="仿宋_GB2312"/>
          <w:b w:val="0"/>
          <w:bCs/>
          <w:i w:val="0"/>
          <w:iCs w:val="0"/>
          <w:szCs w:val="32"/>
          <w:u w:val="none"/>
        </w:rPr>
        <w:t>行政</w:t>
      </w:r>
      <w:r>
        <w:rPr>
          <w:rFonts w:hint="eastAsia" w:ascii="宋体" w:hAnsi="宋体" w:eastAsia="仿宋_GB2312" w:cs="仿宋_GB2312"/>
          <w:b w:val="0"/>
          <w:bCs/>
          <w:szCs w:val="32"/>
        </w:rPr>
        <w:t>主管部门会同有关部门根据流域内水环境功能区和水质控制目标，确定水污染物排放总量控制指标并逐级分阶段分配到各市、县所辖河段。</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流域内各市、县人民政府应当根据本行政区域所辖河段的水污染物排放总量控制指标，确定企业事业单位和个体工商户的水污染物排放量。</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超出</w:t>
      </w:r>
      <w:r>
        <w:rPr>
          <w:rFonts w:hint="eastAsia" w:ascii="宋体" w:hAnsi="宋体" w:eastAsia="仿宋_GB2312" w:cs="仿宋_GB2312"/>
          <w:b w:val="0"/>
          <w:bCs/>
          <w:szCs w:val="32"/>
          <w:lang w:eastAsia="zh-CN"/>
        </w:rPr>
        <w:t>重点</w:t>
      </w:r>
      <w:r>
        <w:rPr>
          <w:rFonts w:hint="eastAsia" w:ascii="宋体" w:hAnsi="宋体" w:eastAsia="仿宋_GB2312" w:cs="仿宋_GB2312"/>
          <w:b w:val="0"/>
          <w:bCs/>
          <w:szCs w:val="32"/>
        </w:rPr>
        <w:t>水污染物排放总量控制指标</w:t>
      </w:r>
      <w:r>
        <w:rPr>
          <w:rFonts w:hint="eastAsia" w:ascii="宋体" w:hAnsi="宋体" w:eastAsia="仿宋_GB2312" w:cs="仿宋_GB2312"/>
          <w:color w:val="000000"/>
          <w:sz w:val="32"/>
          <w:szCs w:val="32"/>
        </w:rPr>
        <w:t>或者未完成水环境质量改善目标</w:t>
      </w:r>
      <w:r>
        <w:rPr>
          <w:rFonts w:hint="eastAsia" w:ascii="宋体" w:hAnsi="宋体" w:eastAsia="仿宋_GB2312" w:cs="仿宋_GB2312"/>
          <w:b w:val="0"/>
          <w:bCs/>
          <w:szCs w:val="32"/>
        </w:rPr>
        <w:t>的地区，</w:t>
      </w:r>
      <w:r>
        <w:rPr>
          <w:rFonts w:hint="eastAsia" w:ascii="宋体" w:hAnsi="宋体" w:eastAsia="仿宋_GB2312" w:cs="仿宋_GB2312"/>
          <w:color w:val="000000"/>
          <w:sz w:val="32"/>
          <w:szCs w:val="32"/>
        </w:rPr>
        <w:t>省人民政府环境保护主管部门应当会同有关部门约谈该地区人民政府的主要负责人，并暂停审批新增</w:t>
      </w:r>
      <w:r>
        <w:rPr>
          <w:rFonts w:hint="eastAsia" w:ascii="宋体" w:hAnsi="宋体" w:eastAsia="仿宋_GB2312" w:cs="仿宋_GB2312"/>
          <w:color w:val="000000"/>
          <w:sz w:val="32"/>
          <w:szCs w:val="32"/>
          <w:lang w:eastAsia="zh-CN"/>
        </w:rPr>
        <w:t>重点</w:t>
      </w:r>
      <w:r>
        <w:rPr>
          <w:rFonts w:hint="eastAsia" w:ascii="宋体" w:hAnsi="宋体" w:eastAsia="仿宋_GB2312" w:cs="仿宋_GB2312"/>
          <w:color w:val="000000"/>
          <w:sz w:val="32"/>
          <w:szCs w:val="32"/>
        </w:rPr>
        <w:t>水污染物排放总量的建设项目的环境影响评价文件。约谈情况应当向社会公开</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zCs w:val="32"/>
          <w:u w:val="none"/>
        </w:rPr>
      </w:pPr>
      <w:r>
        <w:rPr>
          <w:rFonts w:hint="eastAsia" w:ascii="宋体" w:hAnsi="宋体" w:eastAsia="黑体" w:cs="黑体"/>
          <w:b w:val="0"/>
          <w:bCs/>
          <w:i w:val="0"/>
          <w:iCs w:val="0"/>
          <w:szCs w:val="32"/>
          <w:u w:val="none"/>
        </w:rPr>
        <w:t>第十一条</w:t>
      </w:r>
      <w:r>
        <w:rPr>
          <w:rFonts w:hint="eastAsia" w:ascii="宋体" w:hAnsi="宋体" w:eastAsia="仿宋_GB2312" w:cs="仿宋_GB2312"/>
          <w:b w:val="0"/>
          <w:bCs/>
          <w:i w:val="0"/>
          <w:iCs w:val="0"/>
          <w:sz w:val="32"/>
          <w:szCs w:val="32"/>
          <w:u w:val="none"/>
        </w:rPr>
        <w:t xml:space="preserve">  </w:t>
      </w:r>
      <w:r>
        <w:rPr>
          <w:rFonts w:hint="eastAsia" w:ascii="宋体" w:hAnsi="宋体" w:eastAsia="仿宋_GB2312" w:cs="仿宋_GB2312"/>
          <w:b w:val="0"/>
          <w:bCs/>
          <w:i w:val="0"/>
          <w:iCs w:val="0"/>
          <w:szCs w:val="32"/>
          <w:u w:val="none"/>
        </w:rPr>
        <w:t>单位和个体工商户排放的排污量超出确定的水污染物排放总量控制指标或者国家及地方排放标准的，由县级以上人民政府</w:t>
      </w:r>
      <w:r>
        <w:rPr>
          <w:rFonts w:hint="eastAsia" w:ascii="宋体" w:hAnsi="宋体" w:eastAsia="仿宋_GB2312" w:cs="仿宋_GB2312"/>
          <w:b w:val="0"/>
          <w:bCs/>
          <w:i w:val="0"/>
          <w:iCs w:val="0"/>
          <w:szCs w:val="32"/>
          <w:u w:val="none"/>
          <w:lang w:eastAsia="zh-CN"/>
        </w:rPr>
        <w:t>环境保护行政主管部门责令改正或者责令限制生产、停产整治，依法处以罚款；情节严重的，报经有批准权的人民政府批准，责令停业、关闭</w:t>
      </w:r>
      <w:r>
        <w:rPr>
          <w:rFonts w:hint="eastAsia" w:ascii="宋体" w:hAnsi="宋体" w:eastAsia="仿宋_GB2312" w:cs="仿宋_GB2312"/>
          <w:b w:val="0"/>
          <w:bCs/>
          <w:i w:val="0"/>
          <w:iCs w:val="0"/>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w:t>
      </w:r>
      <w:r>
        <w:rPr>
          <w:rFonts w:hint="eastAsia" w:ascii="宋体" w:hAnsi="宋体" w:eastAsia="黑体" w:cs="黑体"/>
          <w:b w:val="0"/>
          <w:bCs/>
          <w:i w:val="0"/>
          <w:iCs w:val="0"/>
          <w:szCs w:val="32"/>
          <w:u w:val="none"/>
        </w:rPr>
        <w:t>二</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人民政府环境保护</w:t>
      </w:r>
      <w:r>
        <w:rPr>
          <w:rFonts w:hint="eastAsia" w:ascii="宋体" w:hAnsi="宋体" w:eastAsia="仿宋_GB2312" w:cs="仿宋_GB2312"/>
          <w:b w:val="0"/>
          <w:bCs/>
          <w:i w:val="0"/>
          <w:iCs w:val="0"/>
          <w:szCs w:val="32"/>
          <w:u w:val="none"/>
        </w:rPr>
        <w:t>行政</w:t>
      </w:r>
      <w:r>
        <w:rPr>
          <w:rFonts w:hint="eastAsia" w:ascii="宋体" w:hAnsi="宋体" w:eastAsia="仿宋_GB2312" w:cs="仿宋_GB2312"/>
          <w:b w:val="0"/>
          <w:bCs/>
          <w:szCs w:val="32"/>
        </w:rPr>
        <w:t>主管部门在审批可能造成跨行政区域水环境污染的建设项目的环境影响报告书时，应当征求相关的人民政府环境保护</w:t>
      </w:r>
      <w:r>
        <w:rPr>
          <w:rFonts w:hint="eastAsia" w:ascii="宋体" w:hAnsi="宋体" w:eastAsia="仿宋_GB2312" w:cs="仿宋_GB2312"/>
          <w:b w:val="0"/>
          <w:bCs/>
          <w:i w:val="0"/>
          <w:iCs w:val="0"/>
          <w:szCs w:val="32"/>
          <w:u w:val="none"/>
        </w:rPr>
        <w:t>行政</w:t>
      </w:r>
      <w:r>
        <w:rPr>
          <w:rFonts w:hint="eastAsia" w:ascii="宋体" w:hAnsi="宋体" w:eastAsia="仿宋_GB2312" w:cs="仿宋_GB2312"/>
          <w:b w:val="0"/>
          <w:bCs/>
          <w:szCs w:val="32"/>
        </w:rPr>
        <w:t>主管部门的意见，有不同意见并协调不成的，报共同的上级人民政府环境保护</w:t>
      </w:r>
      <w:r>
        <w:rPr>
          <w:rFonts w:hint="eastAsia" w:ascii="宋体" w:hAnsi="宋体" w:eastAsia="仿宋_GB2312" w:cs="仿宋_GB2312"/>
          <w:b w:val="0"/>
          <w:bCs/>
          <w:i w:val="0"/>
          <w:iCs w:val="0"/>
          <w:szCs w:val="32"/>
          <w:u w:val="none"/>
        </w:rPr>
        <w:t>行政</w:t>
      </w:r>
      <w:r>
        <w:rPr>
          <w:rFonts w:hint="eastAsia" w:ascii="宋体" w:hAnsi="宋体" w:eastAsia="仿宋_GB2312" w:cs="仿宋_GB2312"/>
          <w:b w:val="0"/>
          <w:bCs/>
          <w:szCs w:val="32"/>
        </w:rPr>
        <w:t>主管部门裁定。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w:t>
      </w:r>
      <w:r>
        <w:rPr>
          <w:rFonts w:hint="eastAsia" w:ascii="宋体" w:hAnsi="宋体" w:eastAsia="黑体" w:cs="黑体"/>
          <w:b w:val="0"/>
          <w:bCs/>
          <w:i w:val="0"/>
          <w:iCs w:val="0"/>
          <w:szCs w:val="32"/>
          <w:u w:val="none"/>
        </w:rPr>
        <w:t>三</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流域内实施水污染物排放许可证制度。排污单位必须按规定规范排污口设置，安装污水排放计量器具，并保证计量器具的正常运行。</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w:t>
      </w:r>
      <w:r>
        <w:rPr>
          <w:rFonts w:hint="eastAsia" w:ascii="宋体" w:hAnsi="宋体" w:eastAsia="黑体" w:cs="黑体"/>
          <w:b w:val="0"/>
          <w:bCs/>
          <w:i w:val="0"/>
          <w:iCs w:val="0"/>
          <w:szCs w:val="32"/>
          <w:u w:val="none"/>
        </w:rPr>
        <w:t>四</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流域内的城镇应当按韩江流域水质保护规划要求建设城市污水集中处理设施。未纳入城市污水集中处理设施集水范围的开发区、旅游区和居住小区必须配套建设污水处理设施。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w:t>
      </w:r>
      <w:r>
        <w:rPr>
          <w:rFonts w:hint="eastAsia" w:ascii="宋体" w:hAnsi="宋体" w:eastAsia="黑体" w:cs="黑体"/>
          <w:b w:val="0"/>
          <w:bCs/>
          <w:i w:val="0"/>
          <w:iCs w:val="0"/>
          <w:szCs w:val="32"/>
          <w:u w:val="none"/>
        </w:rPr>
        <w:t>五</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流域内实行城市污水集中处理收费制度，具体办法按省人民政府的规定执行。</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zCs w:val="32"/>
          <w:u w:val="none"/>
        </w:rPr>
      </w:pPr>
      <w:r>
        <w:rPr>
          <w:rFonts w:hint="eastAsia" w:ascii="宋体" w:hAnsi="宋体" w:eastAsia="黑体" w:cs="黑体"/>
          <w:b w:val="0"/>
          <w:bCs/>
          <w:i w:val="0"/>
          <w:iCs w:val="0"/>
          <w:szCs w:val="32"/>
          <w:u w:val="none"/>
        </w:rPr>
        <w:t>第十六条</w:t>
      </w:r>
      <w:r>
        <w:rPr>
          <w:rFonts w:hint="eastAsia" w:ascii="宋体" w:hAnsi="宋体" w:eastAsia="仿宋_GB2312" w:cs="仿宋_GB2312"/>
          <w:b w:val="0"/>
          <w:bCs/>
          <w:i w:val="0"/>
          <w:iCs w:val="0"/>
          <w:sz w:val="32"/>
          <w:szCs w:val="32"/>
          <w:u w:val="none"/>
        </w:rPr>
        <w:t xml:space="preserve">  </w:t>
      </w:r>
      <w:r>
        <w:rPr>
          <w:rFonts w:hint="eastAsia" w:ascii="宋体" w:hAnsi="宋体" w:eastAsia="仿宋_GB2312" w:cs="仿宋_GB2312"/>
          <w:b w:val="0"/>
          <w:bCs/>
          <w:i w:val="0"/>
          <w:iCs w:val="0"/>
          <w:szCs w:val="32"/>
          <w:u w:val="none"/>
        </w:rPr>
        <w:t>城市污水集中处理单位应当保证污水处理设施的正常运行，保证出水水质达到国家或者地方规定的排放标准。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zCs w:val="32"/>
          <w:u w:val="none"/>
        </w:rPr>
      </w:pPr>
      <w:r>
        <w:rPr>
          <w:rFonts w:hint="eastAsia" w:ascii="宋体" w:hAnsi="宋体" w:eastAsia="仿宋_GB2312" w:cs="仿宋_GB2312"/>
          <w:b w:val="0"/>
          <w:bCs/>
          <w:i w:val="0"/>
          <w:iCs w:val="0"/>
          <w:szCs w:val="32"/>
          <w:u w:val="none"/>
        </w:rPr>
        <w:t>城市污水集中处理单位应当对其出水水质和水量进行检测，定期向当地人民政府环境保护行政主管部门报告。对集中处理产生的污泥要进行无害化处理。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zCs w:val="32"/>
          <w:u w:val="none"/>
        </w:rPr>
      </w:pPr>
      <w:r>
        <w:rPr>
          <w:rFonts w:hint="eastAsia" w:ascii="宋体" w:hAnsi="宋体" w:eastAsia="仿宋_GB2312" w:cs="仿宋_GB2312"/>
          <w:b w:val="0"/>
          <w:bCs/>
          <w:i w:val="0"/>
          <w:iCs w:val="0"/>
          <w:szCs w:val="32"/>
          <w:u w:val="none"/>
        </w:rPr>
        <w:t>城市污水集中处理单位排放的污水超出排放标准</w:t>
      </w:r>
      <w:r>
        <w:rPr>
          <w:rFonts w:hint="eastAsia" w:ascii="宋体" w:hAnsi="宋体" w:eastAsia="仿宋_GB2312" w:cs="仿宋_GB2312"/>
          <w:color w:val="000000"/>
          <w:sz w:val="32"/>
          <w:szCs w:val="32"/>
        </w:rPr>
        <w:t>向环境排放应税污染物</w:t>
      </w:r>
      <w:r>
        <w:rPr>
          <w:rFonts w:hint="eastAsia" w:ascii="宋体" w:hAnsi="宋体" w:eastAsia="仿宋_GB2312" w:cs="仿宋_GB2312"/>
          <w:b w:val="0"/>
          <w:bCs/>
          <w:i w:val="0"/>
          <w:iCs w:val="0"/>
          <w:szCs w:val="32"/>
          <w:u w:val="none"/>
          <w:lang w:eastAsia="zh-CN"/>
        </w:rPr>
        <w:t>的</w:t>
      </w:r>
      <w:r>
        <w:rPr>
          <w:rFonts w:hint="eastAsia" w:ascii="宋体" w:hAnsi="宋体" w:eastAsia="仿宋_GB2312" w:cs="仿宋_GB2312"/>
          <w:b w:val="0"/>
          <w:bCs/>
          <w:i w:val="0"/>
          <w:iCs w:val="0"/>
          <w:szCs w:val="32"/>
          <w:u w:val="none"/>
        </w:rPr>
        <w:t>，</w:t>
      </w:r>
      <w:r>
        <w:rPr>
          <w:rFonts w:hint="eastAsia" w:ascii="宋体" w:hAnsi="宋体" w:eastAsia="仿宋_GB2312" w:cs="仿宋_GB2312"/>
          <w:b w:val="0"/>
          <w:bCs/>
          <w:i w:val="0"/>
          <w:iCs w:val="0"/>
          <w:szCs w:val="32"/>
          <w:u w:val="none"/>
          <w:lang w:eastAsia="zh-CN"/>
        </w:rPr>
        <w:t>应当依法缴纳环境保护税</w:t>
      </w:r>
      <w:r>
        <w:rPr>
          <w:rFonts w:hint="eastAsia" w:ascii="宋体" w:hAnsi="宋体" w:eastAsia="仿宋_GB2312" w:cs="仿宋_GB2312"/>
          <w:b w:val="0"/>
          <w:bCs/>
          <w:i w:val="0"/>
          <w:iCs w:val="0"/>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w:t>
      </w:r>
      <w:r>
        <w:rPr>
          <w:rFonts w:hint="eastAsia" w:ascii="宋体" w:hAnsi="宋体" w:eastAsia="黑体" w:cs="黑体"/>
          <w:b w:val="0"/>
          <w:bCs/>
          <w:i w:val="0"/>
          <w:iCs w:val="0"/>
          <w:szCs w:val="32"/>
          <w:u w:val="none"/>
        </w:rPr>
        <w:t>七</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港口、码头必须配置与其吞吐能力和货物种类相适应的水污染防治设施，建立防止水污染事故的应急措施</w:t>
      </w:r>
      <w:r>
        <w:rPr>
          <w:rFonts w:hint="eastAsia" w:ascii="宋体" w:hAnsi="宋体" w:eastAsia="仿宋_GB2312" w:cs="仿宋_GB2312"/>
          <w:b w:val="0"/>
          <w:bCs/>
          <w:i w:val="0"/>
          <w:iCs w:val="0"/>
          <w:szCs w:val="32"/>
          <w:u w:val="none"/>
        </w:rPr>
        <w:t>，环境保护行政主管部门</w:t>
      </w:r>
      <w:r>
        <w:rPr>
          <w:rFonts w:hint="eastAsia" w:ascii="宋体" w:hAnsi="宋体" w:eastAsia="仿宋_GB2312" w:cs="仿宋_GB2312"/>
          <w:b w:val="0"/>
          <w:bCs/>
          <w:i w:val="0"/>
          <w:iCs w:val="0"/>
          <w:szCs w:val="32"/>
          <w:u w:val="none"/>
          <w:lang w:eastAsia="zh-CN"/>
        </w:rPr>
        <w:t>应当对水污染防治设施设计、施工、验收、投入生产和使用情况进行监督检查</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zCs w:val="32"/>
          <w:u w:val="none"/>
        </w:rPr>
      </w:pPr>
      <w:r>
        <w:rPr>
          <w:rFonts w:hint="eastAsia" w:ascii="宋体" w:hAnsi="宋体" w:eastAsia="黑体" w:cs="黑体"/>
          <w:b w:val="0"/>
          <w:bCs/>
          <w:szCs w:val="32"/>
        </w:rPr>
        <w:t>第十</w:t>
      </w:r>
      <w:r>
        <w:rPr>
          <w:rFonts w:hint="eastAsia" w:ascii="宋体" w:hAnsi="宋体" w:eastAsia="黑体" w:cs="黑体"/>
          <w:b w:val="0"/>
          <w:bCs/>
          <w:i w:val="0"/>
          <w:iCs w:val="0"/>
          <w:szCs w:val="32"/>
          <w:u w:val="none"/>
        </w:rPr>
        <w:t>八</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i w:val="0"/>
          <w:iCs w:val="0"/>
          <w:szCs w:val="32"/>
          <w:u w:val="none"/>
        </w:rPr>
        <w:t>流域内禁止在饮用水水源保护区建油、煤码头或者从事造船、修船、拆船作业</w:t>
      </w:r>
      <w:r>
        <w:rPr>
          <w:rFonts w:hint="eastAsia" w:ascii="宋体" w:hAnsi="宋体" w:eastAsia="仿宋_GB2312" w:cs="仿宋_GB2312"/>
          <w:b w:val="0"/>
          <w:bCs/>
          <w:i w:val="0"/>
          <w:iCs w:val="0"/>
          <w:szCs w:val="32"/>
          <w:u w:val="none"/>
          <w:lang w:eastAsia="zh-CN"/>
        </w:rPr>
        <w:t>以及法律、法规禁止的其他行为</w:t>
      </w:r>
      <w:r>
        <w:rPr>
          <w:rFonts w:hint="eastAsia" w:ascii="宋体" w:hAnsi="宋体" w:eastAsia="仿宋_GB2312" w:cs="仿宋_GB2312"/>
          <w:b w:val="0"/>
          <w:bCs/>
          <w:i w:val="0"/>
          <w:iCs w:val="0"/>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lang w:val="en-US" w:eastAsia="zh-CN"/>
        </w:rPr>
      </w:pPr>
      <w:r>
        <w:rPr>
          <w:rFonts w:hint="eastAsia" w:ascii="宋体" w:hAnsi="宋体" w:eastAsia="仿宋_GB2312" w:cs="仿宋_GB2312"/>
          <w:b w:val="0"/>
          <w:bCs/>
          <w:i w:val="0"/>
          <w:iCs w:val="0"/>
          <w:szCs w:val="32"/>
          <w:u w:val="none"/>
          <w:lang w:eastAsia="zh-CN"/>
        </w:rPr>
        <w:t>流域内</w:t>
      </w:r>
      <w:r>
        <w:rPr>
          <w:rFonts w:hint="eastAsia" w:ascii="宋体" w:hAnsi="宋体" w:eastAsia="仿宋_GB2312" w:cs="仿宋_GB2312"/>
          <w:b w:val="0"/>
          <w:bCs/>
          <w:i w:val="0"/>
          <w:iCs w:val="0"/>
          <w:szCs w:val="32"/>
          <w:u w:val="none"/>
        </w:rPr>
        <w:t>饮用水水源保护区以外的油、煤码头和造船、修船、拆船单位应当配备防止油污染事故的设施</w:t>
      </w:r>
      <w:r>
        <w:rPr>
          <w:rFonts w:hint="eastAsia" w:ascii="宋体" w:hAnsi="宋体" w:eastAsia="仿宋_GB2312" w:cs="仿宋_GB2312"/>
          <w:b w:val="0"/>
          <w:bCs/>
          <w:i w:val="0"/>
          <w:iCs w:val="0"/>
          <w:szCs w:val="32"/>
          <w:u w:val="none"/>
          <w:lang w:eastAsia="zh-CN"/>
        </w:rPr>
        <w:t>以及法律、法规规定应当配备的其他设施</w:t>
      </w:r>
      <w:r>
        <w:rPr>
          <w:rFonts w:hint="eastAsia" w:ascii="宋体" w:hAnsi="宋体" w:eastAsia="仿宋_GB2312" w:cs="仿宋_GB2312"/>
          <w:b w:val="0"/>
          <w:bCs/>
          <w:i w:val="0"/>
          <w:iCs w:val="0"/>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第十</w:t>
      </w:r>
      <w:r>
        <w:rPr>
          <w:rFonts w:hint="eastAsia" w:ascii="宋体" w:hAnsi="宋体" w:eastAsia="黑体" w:cs="黑体"/>
          <w:b w:val="0"/>
          <w:bCs/>
          <w:i w:val="0"/>
          <w:iCs w:val="0"/>
          <w:szCs w:val="32"/>
          <w:u w:val="none"/>
        </w:rPr>
        <w:t>九</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流域内从事生产、装卸、贮存运输有毒有害物品，必须采取防止污染环境的措施，必须遵守国家有关危险货物运输管理的规定。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流域内使用车、船等运输工具运输有毒有害物品发生泄漏事故污染水环境时，造成污染事故者应当立即采取应急措施，消除或者减轻对环境的污染危害，并立即向当地人民政府有关部门报告。</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w:t>
      </w:r>
      <w:r>
        <w:rPr>
          <w:rFonts w:hint="eastAsia" w:ascii="宋体" w:hAnsi="宋体" w:eastAsia="黑体" w:cs="黑体"/>
          <w:b w:val="0"/>
          <w:bCs/>
          <w:i w:val="0"/>
          <w:iCs w:val="0"/>
          <w:szCs w:val="32"/>
          <w:u w:val="none"/>
        </w:rPr>
        <w:t>二十</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流域内禁止毁林开荒、破坏植被、砍伐非更新性水源林和护岸林、全垦炼山造成以及在二十五度以上陡坡开垦。</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流域内禁止滥采河沙、禁止使用炸药、毒药捕杀鱼类。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第二十</w:t>
      </w:r>
      <w:r>
        <w:rPr>
          <w:rFonts w:hint="eastAsia" w:ascii="宋体" w:hAnsi="宋体" w:eastAsia="黑体" w:cs="黑体"/>
          <w:b w:val="0"/>
          <w:bCs/>
          <w:i w:val="0"/>
          <w:iCs w:val="0"/>
          <w:szCs w:val="32"/>
          <w:u w:val="none"/>
        </w:rPr>
        <w:t>一</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流域内农业、林业部门应当依法加强对农药、化肥、除莠剂使用的管理，养活水环境的污染。</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仿宋_GB2312" w:cs="仿宋_GB2312"/>
          <w:b w:val="0"/>
          <w:bCs/>
          <w:szCs w:val="32"/>
        </w:rPr>
        <w:t>流域内从事矿产资源勘查、开采活动，必须采取有效措施防止水土流失，保证生态环境。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Cs w:val="32"/>
        </w:rPr>
      </w:pPr>
      <w:r>
        <w:rPr>
          <w:rFonts w:hint="eastAsia" w:ascii="宋体" w:hAnsi="宋体" w:eastAsia="黑体" w:cs="黑体"/>
          <w:b w:val="0"/>
          <w:bCs/>
          <w:szCs w:val="32"/>
        </w:rPr>
        <w:t>第二十</w:t>
      </w:r>
      <w:r>
        <w:rPr>
          <w:rFonts w:hint="eastAsia" w:ascii="宋体" w:hAnsi="宋体" w:eastAsia="黑体" w:cs="黑体"/>
          <w:b w:val="0"/>
          <w:bCs/>
          <w:i w:val="0"/>
          <w:iCs w:val="0"/>
          <w:szCs w:val="32"/>
          <w:u w:val="none"/>
        </w:rPr>
        <w:t>二</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流域内禁止向水体排放、倾倒</w:t>
      </w:r>
      <w:r>
        <w:rPr>
          <w:rFonts w:hint="eastAsia" w:ascii="宋体" w:hAnsi="宋体" w:eastAsia="仿宋_GB2312" w:cs="仿宋_GB2312"/>
          <w:color w:val="000000"/>
          <w:sz w:val="32"/>
          <w:szCs w:val="32"/>
        </w:rPr>
        <w:t>工业废渣、城镇垃圾或者其他废弃物</w:t>
      </w:r>
      <w:r>
        <w:rPr>
          <w:rFonts w:hint="eastAsia" w:ascii="宋体" w:hAnsi="宋体" w:eastAsia="仿宋_GB2312" w:cs="仿宋_GB2312"/>
          <w:color w:val="000000"/>
          <w:sz w:val="32"/>
          <w:szCs w:val="32"/>
          <w:lang w:eastAsia="zh-CN"/>
        </w:rPr>
        <w:t>等</w:t>
      </w:r>
      <w:r>
        <w:rPr>
          <w:rFonts w:hint="eastAsia" w:ascii="宋体" w:hAnsi="宋体" w:eastAsia="仿宋_GB2312" w:cs="仿宋_GB2312"/>
          <w:b w:val="0"/>
          <w:bCs/>
          <w:i w:val="0"/>
          <w:iCs w:val="0"/>
          <w:szCs w:val="32"/>
          <w:u w:val="none"/>
          <w:lang w:eastAsia="zh-CN"/>
        </w:rPr>
        <w:t>污染物</w:t>
      </w:r>
      <w:r>
        <w:rPr>
          <w:rFonts w:hint="eastAsia" w:ascii="宋体" w:hAnsi="宋体" w:eastAsia="仿宋_GB2312" w:cs="仿宋_GB2312"/>
          <w:b w:val="0"/>
          <w:bCs/>
          <w:szCs w:val="32"/>
          <w:lang w:val="en-US" w:eastAsia="zh-CN"/>
        </w:rPr>
        <w:t>；</w:t>
      </w:r>
      <w:r>
        <w:rPr>
          <w:rFonts w:hint="eastAsia" w:ascii="宋体" w:hAnsi="宋体" w:eastAsia="仿宋_GB2312" w:cs="仿宋_GB2312"/>
          <w:b w:val="0"/>
          <w:bCs/>
          <w:szCs w:val="32"/>
        </w:rPr>
        <w:t>禁止在离干流、一级支流、二级支流两岸最高水位线水平外延五百米范围内新建废弃物堆放场和处理场。已有的堆放场和处理场，要采取有效的防污补救措施，危及水体水质安全的，由当地县级以上人民政府责令限期搬迁</w:t>
      </w:r>
      <w:r>
        <w:rPr>
          <w:rFonts w:hint="eastAsia" w:ascii="宋体" w:hAnsi="宋体" w:eastAsia="仿宋_GB2312" w:cs="仿宋_GB2312"/>
          <w:b w:val="0"/>
          <w:bCs/>
          <w:szCs w:val="32"/>
          <w:lang w:eastAsia="zh-CN"/>
        </w:rPr>
        <w:t>并采取治理措施，消除污染，依法处以罚款；逾期不采取治理措施的，环境保护行政主管部门可以指定有治理能力的单位代为治理，所需费用由违法者承担</w:t>
      </w:r>
      <w:r>
        <w:rPr>
          <w:rFonts w:hint="eastAsia" w:ascii="宋体" w:hAnsi="宋体" w:eastAsia="仿宋_GB2312" w:cs="仿宋_GB2312"/>
          <w:b w:val="0"/>
          <w:bCs/>
          <w:szCs w:val="32"/>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zCs w:val="32"/>
          <w:u w:val="none"/>
        </w:rPr>
      </w:pPr>
      <w:r>
        <w:rPr>
          <w:rFonts w:hint="eastAsia" w:ascii="宋体" w:hAnsi="宋体" w:eastAsia="黑体" w:cs="黑体"/>
          <w:b w:val="0"/>
          <w:bCs/>
          <w:szCs w:val="32"/>
        </w:rPr>
        <w:t>第二十</w:t>
      </w:r>
      <w:r>
        <w:rPr>
          <w:rFonts w:hint="eastAsia" w:ascii="宋体" w:hAnsi="宋体" w:eastAsia="黑体" w:cs="黑体"/>
          <w:b w:val="0"/>
          <w:bCs/>
          <w:i w:val="0"/>
          <w:iCs w:val="0"/>
          <w:szCs w:val="32"/>
          <w:u w:val="none"/>
        </w:rPr>
        <w:t>三</w:t>
      </w:r>
      <w:r>
        <w:rPr>
          <w:rFonts w:hint="eastAsia" w:ascii="宋体" w:hAnsi="宋体" w:eastAsia="黑体" w:cs="黑体"/>
          <w:b w:val="0"/>
          <w:bCs/>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szCs w:val="32"/>
        </w:rPr>
        <w:t>违反本条例第七条规定的，由上一级人民政府责令限期改正，逾期不改正的，对主要负责任人</w:t>
      </w:r>
      <w:r>
        <w:rPr>
          <w:rFonts w:hint="eastAsia" w:ascii="宋体" w:hAnsi="宋体" w:eastAsia="仿宋_GB2312" w:cs="仿宋_GB2312"/>
          <w:b w:val="0"/>
          <w:bCs/>
          <w:i w:val="0"/>
          <w:iCs w:val="0"/>
          <w:szCs w:val="32"/>
          <w:u w:val="none"/>
          <w:lang w:eastAsia="zh-CN"/>
        </w:rPr>
        <w:t>依法给</w:t>
      </w:r>
      <w:r>
        <w:rPr>
          <w:rFonts w:hint="eastAsia" w:ascii="宋体" w:hAnsi="宋体" w:eastAsia="仿宋_GB2312" w:cs="仿宋_GB2312"/>
          <w:b w:val="0"/>
          <w:bCs/>
          <w:i w:val="0"/>
          <w:iCs w:val="0"/>
          <w:szCs w:val="32"/>
          <w:u w:val="none"/>
        </w:rPr>
        <w:t>予处分。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zCs w:val="32"/>
          <w:u w:val="none"/>
        </w:rPr>
      </w:pPr>
      <w:r>
        <w:rPr>
          <w:rFonts w:hint="eastAsia" w:ascii="宋体" w:hAnsi="宋体" w:eastAsia="黑体" w:cs="黑体"/>
          <w:b w:val="0"/>
          <w:bCs/>
          <w:i w:val="0"/>
          <w:iCs w:val="0"/>
          <w:szCs w:val="32"/>
          <w:u w:val="none"/>
        </w:rPr>
        <w:t>第</w:t>
      </w:r>
      <w:r>
        <w:rPr>
          <w:rFonts w:hint="eastAsia" w:ascii="宋体" w:hAnsi="宋体" w:eastAsia="黑体" w:cs="黑体"/>
          <w:b w:val="0"/>
          <w:bCs/>
          <w:i w:val="0"/>
          <w:iCs w:val="0"/>
          <w:szCs w:val="32"/>
          <w:u w:val="none"/>
          <w:lang w:eastAsia="zh-CN"/>
        </w:rPr>
        <w:t>二十四</w:t>
      </w:r>
      <w:r>
        <w:rPr>
          <w:rFonts w:hint="eastAsia" w:ascii="宋体" w:hAnsi="宋体" w:eastAsia="黑体" w:cs="黑体"/>
          <w:b w:val="0"/>
          <w:bCs/>
          <w:i w:val="0"/>
          <w:iCs w:val="0"/>
          <w:szCs w:val="32"/>
          <w:u w:val="none"/>
        </w:rPr>
        <w:t>条</w:t>
      </w:r>
      <w:r>
        <w:rPr>
          <w:rFonts w:hint="eastAsia" w:ascii="宋体" w:hAnsi="宋体" w:eastAsia="仿宋_GB2312" w:cs="仿宋_GB2312"/>
          <w:b w:val="0"/>
          <w:bCs/>
          <w:i w:val="0"/>
          <w:iCs w:val="0"/>
          <w:sz w:val="32"/>
          <w:szCs w:val="32"/>
          <w:u w:val="none"/>
        </w:rPr>
        <w:t xml:space="preserve">  </w:t>
      </w:r>
      <w:r>
        <w:rPr>
          <w:rFonts w:hint="eastAsia" w:ascii="宋体" w:hAnsi="宋体" w:eastAsia="仿宋_GB2312" w:cs="仿宋_GB2312"/>
          <w:b w:val="0"/>
          <w:bCs/>
          <w:i w:val="0"/>
          <w:iCs w:val="0"/>
          <w:szCs w:val="32"/>
          <w:u w:val="none"/>
        </w:rPr>
        <w:t>违反本条例第十三条规定，未安装污水排放计量器具或者擅自拆除、闲置污水排放计量器具，或者改变污水排放计量器具用途的，由县级以上人民政府环境保护行政主管部门责令限期</w:t>
      </w:r>
      <w:r>
        <w:rPr>
          <w:rFonts w:hint="eastAsia" w:ascii="宋体" w:hAnsi="宋体" w:eastAsia="仿宋_GB2312" w:cs="仿宋_GB2312"/>
          <w:b w:val="0"/>
          <w:bCs/>
          <w:i w:val="0"/>
          <w:iCs w:val="0"/>
          <w:szCs w:val="32"/>
          <w:u w:val="none"/>
          <w:lang w:eastAsia="zh-CN"/>
        </w:rPr>
        <w:t>改正</w:t>
      </w:r>
      <w:r>
        <w:rPr>
          <w:rFonts w:hint="eastAsia" w:ascii="宋体" w:hAnsi="宋体" w:eastAsia="仿宋_GB2312" w:cs="仿宋_GB2312"/>
          <w:b w:val="0"/>
          <w:bCs/>
          <w:i w:val="0"/>
          <w:iCs w:val="0"/>
          <w:szCs w:val="32"/>
          <w:u w:val="none"/>
        </w:rPr>
        <w:t>，处</w:t>
      </w:r>
      <w:r>
        <w:rPr>
          <w:rFonts w:hint="eastAsia" w:ascii="宋体" w:hAnsi="宋体" w:eastAsia="仿宋_GB2312" w:cs="仿宋_GB2312"/>
          <w:b w:val="0"/>
          <w:bCs/>
          <w:i w:val="0"/>
          <w:iCs w:val="0"/>
          <w:szCs w:val="32"/>
          <w:u w:val="none"/>
          <w:lang w:eastAsia="zh-CN"/>
        </w:rPr>
        <w:t>二</w:t>
      </w:r>
      <w:r>
        <w:rPr>
          <w:rFonts w:hint="eastAsia" w:ascii="宋体" w:hAnsi="宋体" w:eastAsia="仿宋_GB2312" w:cs="仿宋_GB2312"/>
          <w:b w:val="0"/>
          <w:bCs/>
          <w:i w:val="0"/>
          <w:iCs w:val="0"/>
          <w:szCs w:val="32"/>
          <w:u w:val="none"/>
        </w:rPr>
        <w:t>万元以上</w:t>
      </w:r>
      <w:r>
        <w:rPr>
          <w:rFonts w:hint="eastAsia" w:ascii="宋体" w:hAnsi="宋体" w:eastAsia="仿宋_GB2312" w:cs="仿宋_GB2312"/>
          <w:b w:val="0"/>
          <w:bCs/>
          <w:i w:val="0"/>
          <w:iCs w:val="0"/>
          <w:szCs w:val="32"/>
          <w:u w:val="none"/>
          <w:lang w:eastAsia="zh-CN"/>
        </w:rPr>
        <w:t>二</w:t>
      </w:r>
      <w:r>
        <w:rPr>
          <w:rFonts w:hint="eastAsia" w:ascii="宋体" w:hAnsi="宋体" w:eastAsia="仿宋_GB2312" w:cs="仿宋_GB2312"/>
          <w:b w:val="0"/>
          <w:bCs/>
          <w:i w:val="0"/>
          <w:iCs w:val="0"/>
          <w:szCs w:val="32"/>
          <w:u w:val="none"/>
        </w:rPr>
        <w:t>十万元以下的罚款</w:t>
      </w:r>
      <w:r>
        <w:rPr>
          <w:rFonts w:hint="eastAsia" w:ascii="宋体" w:hAnsi="宋体" w:eastAsia="仿宋_GB2312" w:cs="仿宋_GB2312"/>
          <w:color w:val="000000"/>
          <w:sz w:val="32"/>
          <w:szCs w:val="32"/>
        </w:rPr>
        <w:t>；逾期不改正的，责令停产整治</w:t>
      </w:r>
      <w:r>
        <w:rPr>
          <w:rFonts w:hint="eastAsia" w:ascii="宋体" w:hAnsi="宋体" w:eastAsia="仿宋_GB2312" w:cs="仿宋_GB2312"/>
          <w:b w:val="0"/>
          <w:bCs/>
          <w:i w:val="0"/>
          <w:iCs w:val="0"/>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zCs w:val="32"/>
          <w:u w:val="none"/>
        </w:rPr>
      </w:pPr>
      <w:r>
        <w:rPr>
          <w:rFonts w:hint="eastAsia" w:ascii="宋体" w:hAnsi="宋体" w:eastAsia="黑体" w:cs="黑体"/>
          <w:b w:val="0"/>
          <w:bCs/>
          <w:i w:val="0"/>
          <w:iCs w:val="0"/>
          <w:szCs w:val="32"/>
          <w:u w:val="none"/>
        </w:rPr>
        <w:t>第</w:t>
      </w:r>
      <w:r>
        <w:rPr>
          <w:rFonts w:hint="eastAsia" w:ascii="宋体" w:hAnsi="宋体" w:eastAsia="黑体" w:cs="黑体"/>
          <w:b w:val="0"/>
          <w:bCs/>
          <w:i w:val="0"/>
          <w:iCs w:val="0"/>
          <w:szCs w:val="32"/>
          <w:u w:val="none"/>
          <w:lang w:eastAsia="zh-CN"/>
        </w:rPr>
        <w:t>二十五</w:t>
      </w:r>
      <w:r>
        <w:rPr>
          <w:rFonts w:hint="eastAsia" w:ascii="宋体" w:hAnsi="宋体" w:eastAsia="黑体" w:cs="黑体"/>
          <w:b w:val="0"/>
          <w:bCs/>
          <w:i w:val="0"/>
          <w:iCs w:val="0"/>
          <w:szCs w:val="32"/>
          <w:u w:val="none"/>
        </w:rPr>
        <w:t>条</w:t>
      </w:r>
      <w:r>
        <w:rPr>
          <w:rFonts w:hint="eastAsia" w:ascii="宋体" w:hAnsi="宋体" w:eastAsia="仿宋_GB2312" w:cs="仿宋_GB2312"/>
          <w:b w:val="0"/>
          <w:bCs/>
          <w:i w:val="0"/>
          <w:iCs w:val="0"/>
          <w:sz w:val="32"/>
          <w:szCs w:val="32"/>
          <w:u w:val="none"/>
        </w:rPr>
        <w:t xml:space="preserve">  </w:t>
      </w:r>
      <w:r>
        <w:rPr>
          <w:rFonts w:hint="eastAsia" w:ascii="宋体" w:hAnsi="宋体" w:eastAsia="仿宋_GB2312" w:cs="仿宋_GB2312"/>
          <w:b w:val="0"/>
          <w:bCs/>
          <w:i w:val="0"/>
          <w:iCs w:val="0"/>
          <w:szCs w:val="32"/>
          <w:u w:val="none"/>
        </w:rPr>
        <w:t>违反本条例第十六条第一款规定，致使出水水质超出排放标准的，由县级以上人民政府环境保护行政主管部门责令</w:t>
      </w:r>
      <w:r>
        <w:rPr>
          <w:rFonts w:hint="eastAsia" w:ascii="宋体" w:hAnsi="宋体" w:eastAsia="仿宋_GB2312" w:cs="仿宋_GB2312"/>
          <w:color w:val="000000"/>
          <w:sz w:val="32"/>
          <w:szCs w:val="32"/>
        </w:rPr>
        <w:t>改正或者责令限制生产、停产整治</w:t>
      </w:r>
      <w:r>
        <w:rPr>
          <w:rFonts w:hint="eastAsia" w:ascii="宋体" w:hAnsi="宋体" w:eastAsia="仿宋_GB2312" w:cs="仿宋_GB2312"/>
          <w:b w:val="0"/>
          <w:bCs/>
          <w:i w:val="0"/>
          <w:iCs w:val="0"/>
          <w:szCs w:val="32"/>
          <w:u w:val="none"/>
        </w:rPr>
        <w:t>，</w:t>
      </w:r>
      <w:r>
        <w:rPr>
          <w:rFonts w:hint="eastAsia" w:ascii="宋体" w:hAnsi="宋体" w:eastAsia="仿宋_GB2312" w:cs="仿宋_GB2312"/>
          <w:b w:val="0"/>
          <w:bCs/>
          <w:i w:val="0"/>
          <w:iCs w:val="0"/>
          <w:szCs w:val="32"/>
          <w:u w:val="none"/>
          <w:lang w:eastAsia="zh-CN"/>
        </w:rPr>
        <w:t>并</w:t>
      </w:r>
      <w:r>
        <w:rPr>
          <w:rFonts w:hint="eastAsia" w:ascii="宋体" w:hAnsi="宋体" w:eastAsia="仿宋_GB2312" w:cs="仿宋_GB2312"/>
          <w:b w:val="0"/>
          <w:bCs/>
          <w:i w:val="0"/>
          <w:iCs w:val="0"/>
          <w:szCs w:val="32"/>
          <w:u w:val="none"/>
        </w:rPr>
        <w:t>处十万元</w:t>
      </w:r>
      <w:r>
        <w:rPr>
          <w:rFonts w:hint="eastAsia" w:ascii="宋体" w:hAnsi="宋体" w:eastAsia="仿宋_GB2312" w:cs="仿宋_GB2312"/>
          <w:b w:val="0"/>
          <w:bCs/>
          <w:i w:val="0"/>
          <w:iCs w:val="0"/>
          <w:szCs w:val="32"/>
          <w:u w:val="none"/>
          <w:lang w:eastAsia="zh-CN"/>
        </w:rPr>
        <w:t>以上一百万元</w:t>
      </w:r>
      <w:r>
        <w:rPr>
          <w:rFonts w:hint="eastAsia" w:ascii="宋体" w:hAnsi="宋体" w:eastAsia="仿宋_GB2312" w:cs="仿宋_GB2312"/>
          <w:b w:val="0"/>
          <w:bCs/>
          <w:i w:val="0"/>
          <w:iCs w:val="0"/>
          <w:szCs w:val="32"/>
          <w:u w:val="none"/>
        </w:rPr>
        <w:t>以下罚款</w:t>
      </w:r>
      <w:r>
        <w:rPr>
          <w:rFonts w:hint="eastAsia" w:ascii="宋体" w:hAnsi="宋体" w:eastAsia="仿宋_GB2312" w:cs="仿宋_GB2312"/>
          <w:color w:val="000000"/>
          <w:sz w:val="32"/>
          <w:szCs w:val="32"/>
        </w:rPr>
        <w:t>；情节严重的，报经有批准权的人民政府批准，责令停业、关闭</w:t>
      </w:r>
      <w:r>
        <w:rPr>
          <w:rFonts w:hint="eastAsia" w:ascii="宋体" w:hAnsi="宋体" w:eastAsia="仿宋_GB2312" w:cs="仿宋_GB2312"/>
          <w:b w:val="0"/>
          <w:bCs/>
          <w:i w:val="0"/>
          <w:iCs w:val="0"/>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zCs w:val="32"/>
          <w:u w:val="none"/>
        </w:rPr>
      </w:pPr>
      <w:r>
        <w:rPr>
          <w:rFonts w:hint="eastAsia" w:ascii="宋体" w:hAnsi="宋体" w:eastAsia="黑体" w:cs="黑体"/>
          <w:b w:val="0"/>
          <w:bCs/>
          <w:i w:val="0"/>
          <w:iCs w:val="0"/>
          <w:szCs w:val="32"/>
          <w:u w:val="none"/>
        </w:rPr>
        <w:t>第</w:t>
      </w:r>
      <w:r>
        <w:rPr>
          <w:rFonts w:hint="eastAsia" w:ascii="宋体" w:hAnsi="宋体" w:eastAsia="黑体" w:cs="黑体"/>
          <w:b w:val="0"/>
          <w:bCs/>
          <w:i w:val="0"/>
          <w:iCs w:val="0"/>
          <w:szCs w:val="32"/>
          <w:u w:val="none"/>
          <w:lang w:eastAsia="zh-CN"/>
        </w:rPr>
        <w:t>二十六</w:t>
      </w:r>
      <w:r>
        <w:rPr>
          <w:rFonts w:hint="eastAsia" w:ascii="宋体" w:hAnsi="宋体" w:eastAsia="黑体" w:cs="黑体"/>
          <w:b w:val="0"/>
          <w:bCs/>
          <w:i w:val="0"/>
          <w:iCs w:val="0"/>
          <w:szCs w:val="32"/>
          <w:u w:val="none"/>
        </w:rPr>
        <w:t>条</w:t>
      </w:r>
      <w:r>
        <w:rPr>
          <w:rFonts w:hint="eastAsia" w:ascii="宋体" w:hAnsi="宋体" w:eastAsia="仿宋_GB2312" w:cs="仿宋_GB2312"/>
          <w:b w:val="0"/>
          <w:bCs/>
          <w:i w:val="0"/>
          <w:iCs w:val="0"/>
          <w:sz w:val="32"/>
          <w:szCs w:val="32"/>
          <w:u w:val="none"/>
        </w:rPr>
        <w:t xml:space="preserve">  </w:t>
      </w:r>
      <w:r>
        <w:rPr>
          <w:rFonts w:hint="eastAsia" w:ascii="宋体" w:hAnsi="宋体" w:eastAsia="仿宋_GB2312" w:cs="仿宋_GB2312"/>
          <w:b w:val="0"/>
          <w:bCs/>
          <w:i w:val="0"/>
          <w:iCs w:val="0"/>
          <w:szCs w:val="32"/>
          <w:u w:val="none"/>
        </w:rPr>
        <w:t>违反本条例第十八条第一款规定的，由县级以上人民政府环境保护行政主管部门责令停止</w:t>
      </w:r>
      <w:r>
        <w:rPr>
          <w:rFonts w:hint="eastAsia" w:ascii="宋体" w:hAnsi="宋体" w:eastAsia="仿宋_GB2312" w:cs="仿宋_GB2312"/>
          <w:b w:val="0"/>
          <w:bCs/>
          <w:i w:val="0"/>
          <w:iCs w:val="0"/>
          <w:szCs w:val="32"/>
          <w:u w:val="none"/>
          <w:lang w:eastAsia="zh-CN"/>
        </w:rPr>
        <w:t>违法行为</w:t>
      </w:r>
      <w:r>
        <w:rPr>
          <w:rFonts w:hint="eastAsia" w:ascii="宋体" w:hAnsi="宋体" w:eastAsia="仿宋_GB2312" w:cs="仿宋_GB2312"/>
          <w:b w:val="0"/>
          <w:bCs/>
          <w:i w:val="0"/>
          <w:iCs w:val="0"/>
          <w:szCs w:val="32"/>
          <w:u w:val="none"/>
        </w:rPr>
        <w:t>，处十万元以上五十万元以下的罚款</w:t>
      </w:r>
      <w:r>
        <w:rPr>
          <w:rFonts w:hint="eastAsia" w:ascii="宋体" w:hAnsi="宋体" w:eastAsia="仿宋_GB2312" w:cs="仿宋_GB2312"/>
          <w:color w:val="000000"/>
          <w:sz w:val="32"/>
          <w:szCs w:val="32"/>
        </w:rPr>
        <w:t>；并报经有批准权的人民政府批准，责令拆除或者关闭</w:t>
      </w:r>
      <w:r>
        <w:rPr>
          <w:rFonts w:hint="eastAsia" w:ascii="宋体" w:hAnsi="宋体" w:eastAsia="仿宋_GB2312" w:cs="仿宋_GB2312"/>
          <w:b w:val="0"/>
          <w:bCs/>
          <w:i w:val="0"/>
          <w:iCs w:val="0"/>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lang w:eastAsia="zh-CN"/>
        </w:rPr>
        <w:t>二十七</w:t>
      </w:r>
      <w:r>
        <w:rPr>
          <w:rFonts w:hint="eastAsia" w:ascii="宋体" w:hAnsi="宋体" w:eastAsia="黑体" w:cs="黑体"/>
          <w:b w:val="0"/>
          <w:bCs/>
          <w:sz w:val="32"/>
          <w:szCs w:val="32"/>
        </w:rPr>
        <w:t>条</w:t>
      </w:r>
      <w:r>
        <w:rPr>
          <w:rFonts w:hint="eastAsia" w:ascii="宋体" w:hAnsi="宋体" w:eastAsia="仿宋_GB2312" w:cs="仿宋_GB2312"/>
          <w:b w:val="0"/>
          <w:bCs/>
          <w:sz w:val="32"/>
          <w:szCs w:val="32"/>
        </w:rPr>
        <w:t xml:space="preserve">  违反本条例</w:t>
      </w:r>
      <w:r>
        <w:rPr>
          <w:rFonts w:hint="eastAsia" w:ascii="宋体" w:hAnsi="宋体" w:eastAsia="仿宋_GB2312" w:cs="仿宋_GB2312"/>
          <w:b w:val="0"/>
          <w:bCs/>
          <w:sz w:val="32"/>
          <w:szCs w:val="32"/>
          <w:lang w:eastAsia="zh-CN"/>
        </w:rPr>
        <w:t>第十一条、第十八条第二款、</w:t>
      </w:r>
      <w:r>
        <w:rPr>
          <w:rFonts w:hint="eastAsia" w:ascii="宋体" w:hAnsi="宋体" w:eastAsia="仿宋_GB2312" w:cs="仿宋_GB2312"/>
          <w:b w:val="0"/>
          <w:bCs/>
          <w:sz w:val="32"/>
          <w:szCs w:val="32"/>
        </w:rPr>
        <w:t>第</w:t>
      </w:r>
      <w:r>
        <w:rPr>
          <w:rFonts w:hint="eastAsia" w:ascii="宋体" w:hAnsi="宋体" w:eastAsia="仿宋_GB2312" w:cs="仿宋_GB2312"/>
          <w:b w:val="0"/>
          <w:bCs/>
          <w:i w:val="0"/>
          <w:iCs w:val="0"/>
          <w:sz w:val="32"/>
          <w:szCs w:val="32"/>
          <w:u w:val="none"/>
        </w:rPr>
        <w:t>二十</w:t>
      </w:r>
      <w:r>
        <w:rPr>
          <w:rFonts w:hint="eastAsia" w:ascii="宋体" w:hAnsi="宋体" w:eastAsia="仿宋_GB2312" w:cs="仿宋_GB2312"/>
          <w:b w:val="0"/>
          <w:bCs/>
          <w:i w:val="0"/>
          <w:iCs w:val="0"/>
          <w:sz w:val="32"/>
          <w:szCs w:val="32"/>
          <w:u w:val="none"/>
          <w:lang w:eastAsia="zh-CN"/>
        </w:rPr>
        <w:t>条</w:t>
      </w:r>
      <w:r>
        <w:rPr>
          <w:rFonts w:hint="eastAsia" w:ascii="宋体" w:hAnsi="宋体" w:eastAsia="仿宋_GB2312" w:cs="仿宋_GB2312"/>
          <w:b w:val="0"/>
          <w:bCs/>
          <w:sz w:val="32"/>
          <w:szCs w:val="32"/>
        </w:rPr>
        <w:t>、第二十</w:t>
      </w:r>
      <w:r>
        <w:rPr>
          <w:rFonts w:hint="eastAsia" w:ascii="宋体" w:hAnsi="宋体" w:eastAsia="仿宋_GB2312" w:cs="仿宋_GB2312"/>
          <w:b w:val="0"/>
          <w:bCs/>
          <w:i w:val="0"/>
          <w:iCs w:val="0"/>
          <w:sz w:val="32"/>
          <w:szCs w:val="32"/>
          <w:u w:val="none"/>
        </w:rPr>
        <w:t>一</w:t>
      </w:r>
      <w:r>
        <w:rPr>
          <w:rFonts w:hint="eastAsia" w:ascii="宋体" w:hAnsi="宋体" w:eastAsia="仿宋_GB2312" w:cs="仿宋_GB2312"/>
          <w:b w:val="0"/>
          <w:bCs/>
          <w:sz w:val="32"/>
          <w:szCs w:val="32"/>
        </w:rPr>
        <w:t>条第二款和第二十</w:t>
      </w:r>
      <w:r>
        <w:rPr>
          <w:rFonts w:hint="eastAsia" w:ascii="宋体" w:hAnsi="宋体" w:eastAsia="仿宋_GB2312" w:cs="仿宋_GB2312"/>
          <w:b w:val="0"/>
          <w:bCs/>
          <w:i w:val="0"/>
          <w:iCs w:val="0"/>
          <w:sz w:val="32"/>
          <w:szCs w:val="32"/>
          <w:u w:val="none"/>
        </w:rPr>
        <w:t>二</w:t>
      </w:r>
      <w:r>
        <w:rPr>
          <w:rFonts w:hint="eastAsia" w:ascii="宋体" w:hAnsi="宋体" w:eastAsia="仿宋_GB2312" w:cs="仿宋_GB2312"/>
          <w:b w:val="0"/>
          <w:bCs/>
          <w:sz w:val="32"/>
          <w:szCs w:val="32"/>
        </w:rPr>
        <w:t>条规定的，由有关行政管理部门依照有关法律、法规处理。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lang w:eastAsia="zh-CN"/>
        </w:rPr>
        <w:t>二十八</w:t>
      </w:r>
      <w:r>
        <w:rPr>
          <w:rFonts w:hint="eastAsia" w:ascii="宋体" w:hAnsi="宋体" w:eastAsia="黑体" w:cs="黑体"/>
          <w:b w:val="0"/>
          <w:bCs/>
          <w:sz w:val="32"/>
          <w:szCs w:val="32"/>
        </w:rPr>
        <w:t>条</w:t>
      </w:r>
      <w:r>
        <w:rPr>
          <w:rFonts w:hint="eastAsia" w:ascii="宋体" w:hAnsi="宋体" w:eastAsia="仿宋_GB2312" w:cs="仿宋_GB2312"/>
          <w:b w:val="0"/>
          <w:bCs/>
          <w:sz w:val="32"/>
          <w:szCs w:val="32"/>
        </w:rPr>
        <w:t xml:space="preserve">  本条例自2001年3月1日起施行。</w:t>
      </w:r>
    </w:p>
    <w:p>
      <w:pPr>
        <w:overflowPunct w:val="0"/>
        <w:spacing w:beforeLines="0" w:afterLines="0" w:line="590" w:lineRule="exact"/>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7F45A3"/>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8C5674"/>
    <w:rsid w:val="4A6514C7"/>
    <w:rsid w:val="4ADF25C5"/>
    <w:rsid w:val="4C3D1EBF"/>
    <w:rsid w:val="4CBD1F36"/>
    <w:rsid w:val="4CE04443"/>
    <w:rsid w:val="51D30A52"/>
    <w:rsid w:val="521D0825"/>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6753A"/>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qFormat/>
    <w:uiPriority w:val="0"/>
    <w:rPr>
      <w:rFonts w:eastAsia="宋体"/>
      <w:sz w:val="44"/>
      <w:szCs w:val="24"/>
    </w:rPr>
  </w:style>
  <w:style w:type="paragraph" w:styleId="7">
    <w:name w:val="Body Text Indent"/>
    <w:basedOn w:val="1"/>
    <w:qFormat/>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qFormat/>
    <w:uiPriority w:val="0"/>
  </w:style>
  <w:style w:type="character" w:styleId="20">
    <w:name w:val="Hyperlink"/>
    <w:basedOn w:val="16"/>
    <w:qFormat/>
    <w:uiPriority w:val="0"/>
    <w:rPr>
      <w:color w:val="0066CC"/>
      <w:u w:val="single"/>
    </w:rPr>
  </w:style>
  <w:style w:type="paragraph" w:customStyle="1" w:styleId="22">
    <w:name w:val="页脚 New"/>
    <w:basedOn w:val="23"/>
    <w:qFormat/>
    <w:uiPriority w:val="0"/>
    <w:pPr>
      <w:tabs>
        <w:tab w:val="center" w:pos="4153"/>
        <w:tab w:val="right" w:pos="8306"/>
      </w:tabs>
      <w:snapToGrid w:val="0"/>
      <w:jc w:val="left"/>
    </w:pPr>
    <w:rPr>
      <w:sz w:val="18"/>
      <w:szCs w:val="18"/>
    </w:rPr>
  </w:style>
  <w:style w:type="paragraph" w:customStyle="1" w:styleId="23">
    <w:name w:val="正文 New New New"/>
    <w:basedOn w:val="1"/>
    <w:uiPriority w:val="0"/>
    <w:pPr>
      <w:widowControl w:val="0"/>
      <w:jc w:val="both"/>
    </w:pPr>
    <w:rPr>
      <w:rFonts w:eastAsia="仿宋_GB2312"/>
      <w:kern w:val="2"/>
      <w:sz w:val="32"/>
      <w:szCs w:val="32"/>
      <w:lang w:val="en-US" w:eastAsia="zh-CN" w:bidi="ar-SA"/>
    </w:rPr>
  </w:style>
  <w:style w:type="paragraph" w:customStyle="1" w:styleId="24">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uiPriority w:val="0"/>
    <w:pPr>
      <w:spacing w:after="120" w:afterLines="0"/>
      <w:ind w:left="420" w:leftChars="200"/>
    </w:pPr>
  </w:style>
  <w:style w:type="paragraph" w:customStyle="1" w:styleId="2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uiPriority w:val="0"/>
    <w:rPr>
      <w:sz w:val="44"/>
    </w:rPr>
  </w:style>
  <w:style w:type="paragraph" w:customStyle="1" w:styleId="32">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qFormat/>
    <w:uiPriority w:val="0"/>
    <w:pPr>
      <w:widowControl/>
      <w:spacing w:after="160" w:afterLines="0" w:line="240" w:lineRule="exact"/>
      <w:jc w:val="left"/>
    </w:pPr>
    <w:rPr>
      <w:rFonts w:eastAsia="宋体"/>
      <w:sz w:val="24"/>
      <w:szCs w:val="21"/>
    </w:rPr>
  </w:style>
  <w:style w:type="paragraph" w:customStyle="1" w:styleId="47">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uiPriority w:val="0"/>
    <w:pPr>
      <w:ind w:firstLine="420" w:firstLineChars="200"/>
    </w:pPr>
    <w:rPr>
      <w:rFonts w:ascii="Calibri" w:hAnsi="Calibri" w:eastAsia="宋体"/>
      <w:sz w:val="21"/>
    </w:rPr>
  </w:style>
  <w:style w:type="paragraph" w:customStyle="1" w:styleId="52">
    <w:name w:val="普通(网站) New New"/>
    <w:basedOn w:val="37"/>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uiPriority w:val="0"/>
    <w:pPr>
      <w:widowControl/>
    </w:pPr>
    <w:rPr>
      <w:rFonts w:hint="eastAsia" w:ascii="宋体" w:hAnsi="宋体"/>
      <w:sz w:val="32"/>
    </w:rPr>
  </w:style>
  <w:style w:type="paragraph" w:customStyle="1" w:styleId="57">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59">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uiPriority w:val="0"/>
    <w:rPr>
      <w:rFonts w:eastAsia="宋体"/>
      <w:sz w:val="24"/>
      <w:szCs w:val="21"/>
    </w:rPr>
  </w:style>
  <w:style w:type="paragraph" w:customStyle="1" w:styleId="61">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uiPriority w:val="0"/>
    <w:pPr>
      <w:suppressAutoHyphens w:val="0"/>
      <w:ind w:firstLine="0"/>
    </w:pPr>
    <w:rPr>
      <w:rFonts w:eastAsia="宋体"/>
      <w:sz w:val="24"/>
      <w:szCs w:val="21"/>
    </w:rPr>
  </w:style>
  <w:style w:type="paragraph" w:customStyle="1" w:styleId="68">
    <w:name w:val="正文文本 New New New New New New New"/>
    <w:basedOn w:val="27"/>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uiPriority w:val="0"/>
    <w:pPr>
      <w:widowControl/>
      <w:spacing w:after="160" w:line="240" w:lineRule="exact"/>
      <w:jc w:val="left"/>
    </w:pPr>
  </w:style>
  <w:style w:type="paragraph" w:customStyle="1" w:styleId="71">
    <w:name w:val="正文文本 New New"/>
    <w:basedOn w:val="23"/>
    <w:uiPriority w:val="0"/>
    <w:rPr>
      <w:rFonts w:eastAsia="宋体"/>
      <w:sz w:val="44"/>
      <w:szCs w:val="24"/>
    </w:rPr>
  </w:style>
  <w:style w:type="paragraph" w:customStyle="1" w:styleId="72">
    <w:name w:val=" Char Char Char Char Char Char Char Char Char Char Char1 Char"/>
    <w:basedOn w:val="1"/>
    <w:uiPriority w:val="0"/>
  </w:style>
  <w:style w:type="paragraph" w:customStyle="1" w:styleId="73">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uiPriority w:val="0"/>
    <w:pPr>
      <w:tabs>
        <w:tab w:val="left" w:pos="420"/>
      </w:tabs>
      <w:spacing w:beforeLines="50" w:afterLines="50" w:line="312" w:lineRule="auto"/>
      <w:ind w:left="840" w:hanging="420"/>
    </w:pPr>
  </w:style>
  <w:style w:type="paragraph" w:customStyle="1" w:styleId="78">
    <w:name w:val="0"/>
    <w:basedOn w:val="1"/>
    <w:uiPriority w:val="0"/>
    <w:pPr>
      <w:widowControl/>
      <w:snapToGrid w:val="0"/>
      <w:spacing w:line="240" w:lineRule="atLeast"/>
    </w:pPr>
    <w:rPr>
      <w:spacing w:val="-6"/>
      <w:kern w:val="0"/>
      <w:sz w:val="32"/>
      <w:szCs w:val="32"/>
    </w:rPr>
  </w:style>
  <w:style w:type="paragraph" w:customStyle="1" w:styleId="79">
    <w:name w:val="文本块 New"/>
    <w:basedOn w:val="27"/>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uiPriority w:val="0"/>
    <w:pPr>
      <w:tabs>
        <w:tab w:val="center" w:pos="4153"/>
        <w:tab w:val="right" w:pos="8306"/>
      </w:tabs>
      <w:snapToGrid w:val="0"/>
      <w:jc w:val="left"/>
    </w:pPr>
    <w:rPr>
      <w:sz w:val="18"/>
      <w:szCs w:val="18"/>
    </w:rPr>
  </w:style>
  <w:style w:type="character" w:customStyle="1" w:styleId="86">
    <w:name w:val="apple-style-span"/>
    <w:uiPriority w:val="0"/>
    <w:rPr>
      <w:rFonts w:hint="default"/>
      <w:sz w:val="24"/>
    </w:rPr>
  </w:style>
  <w:style w:type="character" w:customStyle="1" w:styleId="87">
    <w:name w:val="l-1801"/>
    <w:basedOn w:val="16"/>
    <w:uiPriority w:val="0"/>
  </w:style>
  <w:style w:type="character" w:customStyle="1" w:styleId="88">
    <w:name w:val="text3"/>
    <w:basedOn w:val="16"/>
    <w:uiPriority w:val="0"/>
  </w:style>
  <w:style w:type="character" w:customStyle="1" w:styleId="89">
    <w:name w:val="15"/>
    <w:basedOn w:val="16"/>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2018-12-25T03:55:33Z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