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overflowPunct w:val="0"/>
        <w:spacing w:beforeLines="0" w:afterLines="0" w:line="590" w:lineRule="exact"/>
        <w:ind w:left="0" w:leftChars="0" w:firstLine="0" w:firstLineChars="0"/>
        <w:rPr>
          <w:rFonts w:hint="eastAsia" w:ascii="宋体" w:hAnsi="宋体" w:eastAsia="方正小标宋简体" w:cs="宋体"/>
          <w:bCs/>
          <w:color w:val="000000"/>
          <w:sz w:val="32"/>
          <w:szCs w:val="32"/>
          <w:lang w:val="zh-CN"/>
        </w:rPr>
      </w:pPr>
    </w:p>
    <w:p>
      <w:pPr>
        <w:keepNext w:val="0"/>
        <w:keepLines w:val="0"/>
        <w:pageBreakBefore w:val="0"/>
        <w:widowControl w:val="0"/>
        <w:kinsoku/>
        <w:wordWrap/>
        <w:overflowPunct w:val="0"/>
        <w:topLinePunct w:val="0"/>
        <w:bidi w:val="0"/>
        <w:snapToGrid/>
        <w:spacing w:beforeLines="0" w:afterLines="0" w:line="590" w:lineRule="exact"/>
        <w:ind w:left="0" w:leftChars="0" w:right="0" w:rightChars="0"/>
        <w:jc w:val="center"/>
        <w:textAlignment w:val="auto"/>
        <w:outlineLvl w:val="9"/>
        <w:rPr>
          <w:rFonts w:hint="eastAsia" w:ascii="宋体" w:hAnsi="宋体" w:eastAsia="宋体" w:cs="宋体"/>
          <w:bCs/>
          <w:color w:val="000000"/>
          <w:sz w:val="44"/>
          <w:szCs w:val="44"/>
          <w:lang w:val="zh-CN"/>
        </w:rPr>
      </w:pPr>
      <w:r>
        <w:rPr>
          <w:rFonts w:hint="eastAsia" w:ascii="宋体" w:hAnsi="宋体" w:eastAsia="宋体" w:cs="宋体"/>
          <w:bCs/>
          <w:color w:val="000000"/>
          <w:sz w:val="44"/>
          <w:szCs w:val="44"/>
          <w:lang w:val="zh-CN"/>
        </w:rPr>
        <w:t>广东省饮用水源水质保护条例</w:t>
      </w:r>
    </w:p>
    <w:p>
      <w:pPr>
        <w:pStyle w:val="2"/>
        <w:overflowPunct w:val="0"/>
        <w:spacing w:beforeLines="0" w:afterLines="0" w:line="590" w:lineRule="exact"/>
        <w:rPr>
          <w:rFonts w:hint="eastAsia" w:ascii="宋体" w:hAnsi="宋体"/>
          <w:lang w:val="en-US" w:eastAsia="zh-CN"/>
        </w:rPr>
      </w:pPr>
      <w:bookmarkStart w:id="0" w:name="_GoBack"/>
      <w:bookmarkEnd w:id="0"/>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632" w:leftChars="200" w:right="632" w:rightChars="200" w:firstLine="8" w:firstLineChars="0"/>
        <w:jc w:val="both"/>
        <w:textAlignment w:val="auto"/>
        <w:outlineLvl w:val="9"/>
        <w:rPr>
          <w:rFonts w:hint="eastAsia" w:ascii="宋体" w:hAnsi="宋体" w:eastAsia="楷体_GB2312" w:cs="楷体_GB2312"/>
          <w:lang w:val="en-US" w:eastAsia="zh-CN"/>
        </w:rPr>
      </w:pPr>
      <w:r>
        <w:rPr>
          <w:rFonts w:hint="eastAsia" w:ascii="宋体" w:hAnsi="宋体" w:eastAsia="楷体_GB2312" w:cs="楷体_GB2312"/>
          <w:lang w:val="en-US" w:eastAsia="zh-CN"/>
        </w:rPr>
        <w:t>（</w:t>
      </w:r>
      <w:r>
        <w:rPr>
          <w:rFonts w:hint="eastAsia" w:ascii="楷体" w:hAnsi="楷体" w:eastAsia="楷体" w:cs="楷体"/>
          <w:sz w:val="32"/>
          <w:szCs w:val="32"/>
        </w:rPr>
        <w:t xml:space="preserve">2007年3月29日广东省第十届人民代表大会常务委员会第三十次会议通过  </w:t>
      </w:r>
      <w:r>
        <w:rPr>
          <w:rFonts w:hint="eastAsia" w:ascii="楷体" w:hAnsi="楷体" w:eastAsia="楷体" w:cs="楷体"/>
          <w:color w:val="auto"/>
          <w:sz w:val="32"/>
          <w:szCs w:val="32"/>
        </w:rPr>
        <w:t>根据2010年7月23日广东省第十一届人民代表大会常务委员会第二十次会议《关于修改部分地方性法规的决定》第一次修正</w:t>
      </w:r>
      <w:r>
        <w:rPr>
          <w:rFonts w:hint="eastAsia" w:ascii="楷体" w:hAnsi="楷体" w:eastAsia="楷体" w:cs="楷体"/>
          <w:sz w:val="32"/>
          <w:szCs w:val="32"/>
        </w:rPr>
        <w:t xml:space="preserve">  根据2018年11月29日广东省第十三届人民代表大会常务委员会第七次会议《关于修改〈广东省环境保护条例〉等十三项地方性法规的决定》</w:t>
      </w:r>
      <w:r>
        <w:rPr>
          <w:rFonts w:hint="eastAsia" w:ascii="楷体" w:hAnsi="楷体" w:eastAsia="楷体" w:cs="楷体"/>
          <w:color w:val="auto"/>
          <w:sz w:val="32"/>
          <w:szCs w:val="32"/>
        </w:rPr>
        <w:t>第二次修正</w:t>
      </w:r>
      <w:r>
        <w:rPr>
          <w:rFonts w:hint="eastAsia" w:ascii="宋体" w:hAnsi="宋体" w:eastAsia="楷体_GB2312" w:cs="楷体_GB2312"/>
          <w:lang w:val="en-US" w:eastAsia="zh-CN"/>
        </w:rPr>
        <w:t>）</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jc w:val="center"/>
        <w:textAlignment w:val="auto"/>
        <w:outlineLvl w:val="9"/>
        <w:rPr>
          <w:rFonts w:hint="eastAsia" w:ascii="宋体" w:hAnsi="宋体" w:eastAsia="方正小标宋简体" w:cs="宋体"/>
          <w:bCs/>
          <w:color w:val="000000"/>
          <w:sz w:val="44"/>
          <w:szCs w:val="44"/>
          <w:lang w:val="zh-CN"/>
        </w:rPr>
      </w:pPr>
    </w:p>
    <w:p>
      <w:pPr>
        <w:pStyle w:val="2"/>
        <w:keepNext w:val="0"/>
        <w:keepLines w:val="0"/>
        <w:pageBreakBefore w:val="0"/>
        <w:widowControl w:val="0"/>
        <w:kinsoku/>
        <w:wordWrap/>
        <w:overflowPunct w:val="0"/>
        <w:topLinePunct w:val="0"/>
        <w:bidi w:val="0"/>
        <w:snapToGrid/>
        <w:spacing w:beforeLines="0" w:afterLines="0" w:line="590" w:lineRule="exact"/>
        <w:ind w:left="0" w:leftChars="0" w:right="0" w:rightChars="0" w:firstLine="0" w:firstLineChars="0"/>
        <w:jc w:val="center"/>
        <w:textAlignment w:val="auto"/>
        <w:rPr>
          <w:rFonts w:hint="eastAsia" w:ascii="宋体" w:hAnsi="宋体" w:eastAsia="楷体_GB2312" w:cs="楷体_GB2312"/>
          <w:bCs/>
          <w:color w:val="000000"/>
          <w:sz w:val="32"/>
          <w:szCs w:val="32"/>
          <w:lang w:val="zh-CN"/>
        </w:rPr>
      </w:pPr>
      <w:r>
        <w:rPr>
          <w:rFonts w:hint="eastAsia" w:ascii="宋体" w:hAnsi="宋体" w:eastAsia="楷体_GB2312" w:cs="楷体_GB2312"/>
          <w:bCs/>
          <w:color w:val="000000"/>
          <w:sz w:val="32"/>
          <w:szCs w:val="32"/>
          <w:lang w:val="zh-CN"/>
        </w:rPr>
        <w:t>目</w:t>
      </w:r>
      <w:r>
        <w:rPr>
          <w:rFonts w:hint="eastAsia" w:ascii="宋体" w:hAnsi="宋体" w:eastAsia="楷体_GB2312" w:cs="楷体_GB2312"/>
          <w:bCs/>
          <w:color w:val="000000"/>
          <w:sz w:val="32"/>
          <w:szCs w:val="32"/>
          <w:lang w:val="en-US" w:eastAsia="zh-CN"/>
        </w:rPr>
        <w:t xml:space="preserve">    </w:t>
      </w:r>
      <w:r>
        <w:rPr>
          <w:rFonts w:hint="eastAsia" w:ascii="宋体" w:hAnsi="宋体" w:eastAsia="楷体_GB2312" w:cs="楷体_GB2312"/>
          <w:bCs/>
          <w:color w:val="000000"/>
          <w:sz w:val="32"/>
          <w:szCs w:val="32"/>
          <w:lang w:val="zh-CN"/>
        </w:rPr>
        <w:t>录</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8" w:firstLineChars="202"/>
        <w:jc w:val="both"/>
        <w:textAlignment w:val="auto"/>
        <w:outlineLvl w:val="9"/>
        <w:rPr>
          <w:rFonts w:hint="eastAsia" w:ascii="宋体" w:hAnsi="宋体" w:eastAsia="楷体_GB2312" w:cs="楷体_GB2312"/>
          <w:b w:val="0"/>
          <w:bCs/>
          <w:kern w:val="0"/>
          <w:lang w:val="zh-CN"/>
        </w:rPr>
      </w:pPr>
      <w:r>
        <w:rPr>
          <w:rFonts w:hint="eastAsia" w:ascii="宋体" w:hAnsi="宋体" w:eastAsia="楷体_GB2312" w:cs="楷体_GB2312"/>
          <w:b w:val="0"/>
          <w:bCs/>
          <w:kern w:val="0"/>
          <w:lang w:val="zh-CN"/>
        </w:rPr>
        <w:t>第一章</w:t>
      </w:r>
      <w:r>
        <w:rPr>
          <w:rFonts w:hint="eastAsia" w:ascii="宋体" w:hAnsi="宋体" w:eastAsia="楷体_GB2312" w:cs="楷体_GB2312"/>
          <w:b w:val="0"/>
          <w:bCs/>
          <w:kern w:val="0"/>
        </w:rPr>
        <w:t xml:space="preserve">  </w:t>
      </w:r>
      <w:r>
        <w:rPr>
          <w:rFonts w:hint="eastAsia" w:ascii="宋体" w:hAnsi="宋体" w:eastAsia="楷体_GB2312" w:cs="楷体_GB2312"/>
          <w:b w:val="0"/>
          <w:bCs/>
          <w:kern w:val="0"/>
          <w:lang w:val="zh-CN"/>
        </w:rPr>
        <w:t>总则</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8" w:firstLineChars="202"/>
        <w:jc w:val="both"/>
        <w:textAlignment w:val="auto"/>
        <w:outlineLvl w:val="9"/>
        <w:rPr>
          <w:rFonts w:hint="eastAsia" w:ascii="宋体" w:hAnsi="宋体" w:eastAsia="楷体_GB2312" w:cs="楷体_GB2312"/>
          <w:b w:val="0"/>
          <w:bCs/>
          <w:kern w:val="0"/>
          <w:szCs w:val="22"/>
          <w:lang w:val="zh-CN"/>
        </w:rPr>
      </w:pPr>
      <w:r>
        <w:rPr>
          <w:rFonts w:hint="eastAsia" w:ascii="宋体" w:hAnsi="宋体" w:eastAsia="楷体_GB2312" w:cs="楷体_GB2312"/>
          <w:b w:val="0"/>
          <w:bCs/>
          <w:kern w:val="0"/>
          <w:szCs w:val="22"/>
          <w:lang w:val="zh-CN"/>
        </w:rPr>
        <w:t>第二章  饮用水源保护区的划定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8" w:firstLineChars="202"/>
        <w:jc w:val="both"/>
        <w:textAlignment w:val="auto"/>
        <w:outlineLvl w:val="9"/>
        <w:rPr>
          <w:rFonts w:hint="eastAsia" w:ascii="宋体" w:hAnsi="宋体" w:eastAsia="楷体_GB2312" w:cs="楷体_GB2312"/>
          <w:b w:val="0"/>
          <w:bCs/>
          <w:kern w:val="0"/>
          <w:szCs w:val="22"/>
          <w:lang w:val="zh-CN"/>
        </w:rPr>
      </w:pPr>
      <w:r>
        <w:rPr>
          <w:rFonts w:hint="eastAsia" w:ascii="宋体" w:hAnsi="宋体" w:eastAsia="楷体_GB2312" w:cs="楷体_GB2312"/>
          <w:b w:val="0"/>
          <w:bCs/>
          <w:kern w:val="0"/>
          <w:szCs w:val="22"/>
          <w:lang w:val="zh-CN"/>
        </w:rPr>
        <w:t>第三章  饮用水源保护区水质保护</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8" w:firstLineChars="202"/>
        <w:jc w:val="both"/>
        <w:textAlignment w:val="auto"/>
        <w:outlineLvl w:val="9"/>
        <w:rPr>
          <w:rFonts w:hint="eastAsia" w:ascii="宋体" w:hAnsi="宋体" w:eastAsia="楷体_GB2312" w:cs="楷体_GB2312"/>
          <w:b w:val="0"/>
          <w:bCs/>
          <w:lang w:val="zh-CN"/>
        </w:rPr>
      </w:pPr>
      <w:r>
        <w:rPr>
          <w:rFonts w:hint="eastAsia" w:ascii="宋体" w:hAnsi="宋体" w:eastAsia="楷体_GB2312" w:cs="楷体_GB2312"/>
          <w:b w:val="0"/>
          <w:bCs/>
          <w:szCs w:val="22"/>
          <w:lang w:val="zh-CN"/>
        </w:rPr>
        <w:t>第四章  监督管理</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8" w:firstLineChars="202"/>
        <w:jc w:val="both"/>
        <w:textAlignment w:val="auto"/>
        <w:outlineLvl w:val="9"/>
        <w:rPr>
          <w:rFonts w:hint="eastAsia" w:ascii="宋体" w:hAnsi="宋体" w:eastAsia="楷体_GB2312" w:cs="楷体_GB2312"/>
          <w:b w:val="0"/>
          <w:bCs/>
          <w:szCs w:val="22"/>
          <w:lang w:val="zh-CN"/>
        </w:rPr>
      </w:pPr>
      <w:r>
        <w:rPr>
          <w:rFonts w:hint="eastAsia" w:ascii="宋体" w:hAnsi="宋体" w:eastAsia="楷体_GB2312" w:cs="楷体_GB2312"/>
          <w:b w:val="0"/>
          <w:bCs/>
          <w:szCs w:val="22"/>
          <w:lang w:val="zh-CN"/>
        </w:rPr>
        <w:t>第五章  法律责任</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8" w:firstLineChars="202"/>
        <w:jc w:val="both"/>
        <w:textAlignment w:val="auto"/>
        <w:outlineLvl w:val="9"/>
        <w:rPr>
          <w:rFonts w:hint="eastAsia" w:ascii="宋体" w:hAnsi="宋体" w:eastAsia="楷体_GB2312" w:cs="楷体_GB2312"/>
          <w:b w:val="0"/>
          <w:bCs/>
          <w:szCs w:val="22"/>
          <w:lang w:val="zh-CN"/>
        </w:rPr>
      </w:pPr>
      <w:r>
        <w:rPr>
          <w:rFonts w:hint="eastAsia" w:ascii="宋体" w:hAnsi="宋体" w:eastAsia="楷体_GB2312" w:cs="楷体_GB2312"/>
          <w:b w:val="0"/>
          <w:bCs/>
          <w:szCs w:val="22"/>
          <w:lang w:val="zh-CN"/>
        </w:rPr>
        <w:t>第六章  附则</w:t>
      </w:r>
    </w:p>
    <w:p>
      <w:pPr>
        <w:pStyle w:val="2"/>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rPr>
          <w:rFonts w:hint="eastAsia" w:ascii="宋体" w:hAnsi="宋体" w:eastAsia="方正小标宋简体" w:cs="宋体"/>
          <w:bCs/>
          <w:color w:val="000000"/>
          <w:sz w:val="44"/>
          <w:szCs w:val="44"/>
          <w:lang w:val="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jc w:val="center"/>
        <w:textAlignment w:val="auto"/>
        <w:outlineLvl w:val="9"/>
        <w:rPr>
          <w:rFonts w:hint="eastAsia" w:ascii="宋体" w:hAnsi="宋体" w:eastAsia="黑体" w:cs="黑体"/>
          <w:b w:val="0"/>
          <w:bCs/>
          <w:kern w:val="0"/>
          <w:lang w:val="zh-CN"/>
        </w:rPr>
      </w:pPr>
      <w:r>
        <w:rPr>
          <w:rFonts w:hint="eastAsia" w:ascii="宋体" w:hAnsi="宋体" w:eastAsia="黑体" w:cs="黑体"/>
          <w:b w:val="0"/>
          <w:bCs/>
          <w:kern w:val="0"/>
          <w:lang w:val="zh-CN"/>
        </w:rPr>
        <w:t>第一章</w:t>
      </w:r>
      <w:r>
        <w:rPr>
          <w:rFonts w:hint="eastAsia" w:ascii="宋体" w:hAnsi="宋体" w:eastAsia="黑体" w:cs="黑体"/>
          <w:b w:val="0"/>
          <w:bCs/>
          <w:kern w:val="0"/>
        </w:rPr>
        <w:t xml:space="preserve">  </w:t>
      </w:r>
      <w:r>
        <w:rPr>
          <w:rFonts w:hint="eastAsia" w:ascii="宋体" w:hAnsi="宋体" w:eastAsia="黑体" w:cs="黑体"/>
          <w:b w:val="0"/>
          <w:bCs/>
          <w:kern w:val="0"/>
          <w:lang w:val="zh-CN"/>
        </w:rPr>
        <w:t>总则</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jc w:val="center"/>
        <w:textAlignment w:val="auto"/>
        <w:outlineLvl w:val="9"/>
        <w:rPr>
          <w:rFonts w:hint="eastAsia" w:ascii="宋体" w:hAnsi="宋体" w:eastAsia="仿宋_GB2312" w:cs="仿宋_GB2312"/>
          <w:b w:val="0"/>
          <w:bCs/>
          <w:kern w:val="0"/>
          <w:lang w:val="zh-CN"/>
        </w:rPr>
      </w:pP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kern w:val="0"/>
          <w:lang w:val="zh-CN"/>
        </w:rPr>
        <w:t>　</w:t>
      </w:r>
      <w:r>
        <w:rPr>
          <w:rFonts w:hint="eastAsia" w:ascii="宋体" w:hAnsi="宋体" w:eastAsia="仿宋_GB2312" w:cs="仿宋_GB2312"/>
          <w:b w:val="0"/>
          <w:bCs/>
          <w:lang w:val="zh-CN"/>
        </w:rPr>
        <w:t>　</w:t>
      </w:r>
      <w:r>
        <w:rPr>
          <w:rFonts w:hint="eastAsia" w:ascii="宋体" w:hAnsi="宋体" w:eastAsia="黑体" w:cs="黑体"/>
          <w:b w:val="0"/>
          <w:bCs/>
          <w:kern w:val="0"/>
          <w:szCs w:val="22"/>
          <w:lang w:val="zh-CN"/>
        </w:rPr>
        <w:t>第一条</w:t>
      </w:r>
      <w:r>
        <w:rPr>
          <w:rFonts w:hint="eastAsia" w:ascii="宋体" w:hAnsi="宋体" w:eastAsia="仿宋_GB2312" w:cs="仿宋_GB2312"/>
          <w:b w:val="0"/>
          <w:bCs/>
        </w:rPr>
        <w:t xml:space="preserve">  </w:t>
      </w:r>
      <w:r>
        <w:rPr>
          <w:rFonts w:hint="eastAsia" w:ascii="宋体" w:hAnsi="宋体" w:eastAsia="仿宋_GB2312" w:cs="仿宋_GB2312"/>
          <w:b w:val="0"/>
          <w:bCs/>
          <w:lang w:val="zh-CN"/>
        </w:rPr>
        <w:t>为保护饮用水源水质，确保饮用水安全，根据《中华人民共和国水污染防治法》《中华人民共和国水法》等有关法律法规，结合本省实际，制定本条例。</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w:t>
      </w:r>
      <w:r>
        <w:rPr>
          <w:rFonts w:hint="eastAsia" w:ascii="宋体" w:hAnsi="宋体" w:eastAsia="黑体" w:cs="黑体"/>
          <w:b w:val="0"/>
          <w:bCs/>
          <w:kern w:val="0"/>
          <w:szCs w:val="22"/>
          <w:lang w:val="zh-CN"/>
        </w:rPr>
        <w:t>第二条</w:t>
      </w:r>
      <w:r>
        <w:rPr>
          <w:rFonts w:hint="eastAsia" w:ascii="宋体" w:hAnsi="宋体" w:eastAsia="仿宋_GB2312" w:cs="仿宋_GB2312"/>
          <w:b w:val="0"/>
          <w:bCs/>
          <w:lang w:val="zh-CN"/>
        </w:rPr>
        <w:t>　本省行政区域内饮用水源水质保护适用本条例。</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kern w:val="0"/>
          <w:lang w:val="zh-CN"/>
        </w:rPr>
      </w:pPr>
      <w:r>
        <w:rPr>
          <w:rFonts w:hint="eastAsia" w:ascii="宋体" w:hAnsi="宋体" w:eastAsia="仿宋_GB2312" w:cs="仿宋_GB2312"/>
          <w:b w:val="0"/>
          <w:bCs/>
          <w:lang w:val="zh-CN"/>
        </w:rPr>
        <w:t>　　</w:t>
      </w:r>
      <w:r>
        <w:rPr>
          <w:rFonts w:hint="eastAsia" w:ascii="宋体" w:hAnsi="宋体" w:eastAsia="黑体" w:cs="黑体"/>
          <w:b w:val="0"/>
          <w:bCs/>
          <w:kern w:val="0"/>
          <w:szCs w:val="22"/>
          <w:lang w:val="zh-CN"/>
        </w:rPr>
        <w:t>第三条　</w:t>
      </w:r>
      <w:r>
        <w:rPr>
          <w:rFonts w:hint="eastAsia" w:ascii="宋体" w:hAnsi="宋体" w:eastAsia="仿宋_GB2312" w:cs="仿宋_GB2312"/>
          <w:b w:val="0"/>
          <w:bCs/>
          <w:lang w:val="zh-CN"/>
        </w:rPr>
        <w:t>县级以上人民政府负责本行政区域内饮用水源水质保护工作，将饮用水源水质保护情况纳入政府环境保护责任考核范围，并建立饮用水源水质保护协调领导机制，统筹协调辖区内饮用水源水质保护工作，使饮用水源水质符合国家规定的标准。</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kern w:val="0"/>
          <w:lang w:val="zh-CN"/>
        </w:rPr>
        <w:t>　　</w:t>
      </w:r>
      <w:r>
        <w:rPr>
          <w:rFonts w:hint="eastAsia" w:ascii="宋体" w:hAnsi="宋体" w:eastAsia="黑体" w:cs="黑体"/>
          <w:b w:val="0"/>
          <w:bCs/>
          <w:kern w:val="0"/>
          <w:szCs w:val="22"/>
          <w:lang w:val="zh-CN"/>
        </w:rPr>
        <w:t>第四条</w:t>
      </w:r>
      <w:r>
        <w:rPr>
          <w:rFonts w:hint="eastAsia" w:ascii="宋体" w:hAnsi="宋体" w:eastAsia="仿宋_GB2312" w:cs="仿宋_GB2312"/>
          <w:b w:val="0"/>
          <w:bCs/>
          <w:lang w:val="zh-CN"/>
        </w:rPr>
        <w:t>　各级人民政府应当将饮用水源水质保护纳入经济社会发展规划。规划项目布局和产业结构调整应当符合饮用水源水质保护的要求。</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w:t>
      </w:r>
      <w:r>
        <w:rPr>
          <w:rFonts w:hint="eastAsia" w:ascii="宋体" w:hAnsi="宋体" w:eastAsia="黑体" w:cs="黑体"/>
          <w:b w:val="0"/>
          <w:bCs/>
          <w:kern w:val="0"/>
          <w:szCs w:val="22"/>
          <w:lang w:val="zh-CN"/>
        </w:rPr>
        <w:t>第五条</w:t>
      </w:r>
      <w:r>
        <w:rPr>
          <w:rFonts w:hint="eastAsia" w:ascii="宋体" w:hAnsi="宋体" w:eastAsia="仿宋_GB2312" w:cs="仿宋_GB2312"/>
          <w:b w:val="0"/>
          <w:bCs/>
          <w:lang w:val="zh-CN"/>
        </w:rPr>
        <w:t>　各级人民政府应当加大投入，保障饮用水源水质安全工程建设、管理的需要。</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w:t>
      </w:r>
      <w:r>
        <w:rPr>
          <w:rFonts w:hint="eastAsia" w:ascii="宋体" w:hAnsi="宋体" w:eastAsia="仿宋_GB2312" w:cs="仿宋_GB2312"/>
          <w:b w:val="0"/>
          <w:bCs/>
          <w:kern w:val="0"/>
          <w:lang w:val="zh-CN"/>
        </w:rPr>
        <w:t>　</w:t>
      </w:r>
      <w:r>
        <w:rPr>
          <w:rFonts w:hint="eastAsia" w:ascii="宋体" w:hAnsi="宋体" w:eastAsia="黑体" w:cs="黑体"/>
          <w:b w:val="0"/>
          <w:bCs/>
          <w:kern w:val="0"/>
          <w:szCs w:val="22"/>
          <w:lang w:val="zh-CN"/>
        </w:rPr>
        <w:t>第六条</w:t>
      </w:r>
      <w:r>
        <w:rPr>
          <w:rFonts w:hint="eastAsia" w:ascii="宋体" w:hAnsi="宋体" w:eastAsia="仿宋_GB2312" w:cs="仿宋_GB2312"/>
          <w:b w:val="0"/>
          <w:bCs/>
          <w:lang w:val="zh-CN"/>
        </w:rPr>
        <w:t>　各级人民政府应当加强保护饮用水源和节约用水的宣传教育，组织开展水质保护实用技术的研究与推广应用，提高水资源循环利用率，鼓励清洁生产，削减污水排放量。</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w:t>
      </w:r>
      <w:r>
        <w:rPr>
          <w:rFonts w:hint="eastAsia" w:ascii="宋体" w:hAnsi="宋体" w:eastAsia="黑体" w:cs="黑体"/>
          <w:b w:val="0"/>
          <w:bCs/>
          <w:kern w:val="0"/>
          <w:szCs w:val="22"/>
          <w:lang w:val="zh-CN"/>
        </w:rPr>
        <w:t>第七条</w:t>
      </w:r>
      <w:r>
        <w:rPr>
          <w:rFonts w:hint="eastAsia" w:ascii="宋体" w:hAnsi="宋体" w:eastAsia="仿宋_GB2312" w:cs="仿宋_GB2312"/>
          <w:b w:val="0"/>
          <w:bCs/>
          <w:lang w:val="zh-CN"/>
        </w:rPr>
        <w:t>　县级以上人民政府环境保护行政主管部门对本行政区域内饮用水源水质保护工作实施统一监督管理。</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县级以上人民政府规划、建设、国土、水、公安、海事、渔业、农业、林业、卫生等行政主管部门按照各自的职责，做好对饮用水源污染防治的监督管理工作，及时制止违反饮用水源水质保护规定的行为。</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kern w:val="0"/>
        </w:rPr>
        <w:t xml:space="preserve">    </w:t>
      </w:r>
      <w:r>
        <w:rPr>
          <w:rFonts w:hint="eastAsia" w:ascii="宋体" w:hAnsi="宋体" w:eastAsia="黑体" w:cs="黑体"/>
          <w:b w:val="0"/>
          <w:bCs/>
          <w:kern w:val="0"/>
          <w:szCs w:val="22"/>
          <w:lang w:val="zh-CN"/>
        </w:rPr>
        <w:t>第八条</w:t>
      </w:r>
      <w:r>
        <w:rPr>
          <w:rFonts w:hint="eastAsia" w:ascii="宋体" w:hAnsi="宋体" w:eastAsia="仿宋_GB2312" w:cs="仿宋_GB2312"/>
          <w:b w:val="0"/>
          <w:bCs/>
          <w:lang w:val="zh-CN"/>
        </w:rPr>
        <w:t>　公民、法人和其他组织都有保护饮用水源水质的义务。</w:t>
      </w:r>
    </w:p>
    <w:p>
      <w:pPr>
        <w:pStyle w:val="56"/>
        <w:keepNext w:val="0"/>
        <w:keepLines w:val="0"/>
        <w:pageBreakBefore w:val="0"/>
        <w:widowControl w:val="0"/>
        <w:kinsoku/>
        <w:wordWrap/>
        <w:overflowPunct w:val="0"/>
        <w:topLinePunct w:val="0"/>
        <w:bidi w:val="0"/>
        <w:snapToGrid/>
        <w:spacing w:beforeLines="0" w:afterLines="0" w:line="590" w:lineRule="exact"/>
        <w:ind w:left="0" w:leftChars="0" w:right="0" w:rightChars="0" w:firstLine="316" w:firstLineChars="100"/>
        <w:textAlignment w:val="auto"/>
        <w:outlineLvl w:val="9"/>
        <w:rPr>
          <w:rFonts w:hint="eastAsia" w:ascii="宋体" w:hAnsi="宋体" w:eastAsia="仿宋_GB2312" w:cs="仿宋_GB2312"/>
          <w:b w:val="0"/>
          <w:bCs/>
          <w:color w:val="000000"/>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jc w:val="center"/>
        <w:textAlignment w:val="auto"/>
        <w:outlineLvl w:val="9"/>
        <w:rPr>
          <w:rFonts w:hint="eastAsia" w:ascii="宋体" w:hAnsi="宋体" w:eastAsia="黑体" w:cs="黑体"/>
          <w:b w:val="0"/>
          <w:bCs/>
          <w:kern w:val="0"/>
          <w:szCs w:val="22"/>
          <w:lang w:val="zh-CN"/>
        </w:rPr>
      </w:pPr>
      <w:r>
        <w:rPr>
          <w:rFonts w:hint="eastAsia" w:ascii="宋体" w:hAnsi="宋体" w:eastAsia="黑体" w:cs="黑体"/>
          <w:b w:val="0"/>
          <w:bCs/>
          <w:kern w:val="0"/>
          <w:szCs w:val="22"/>
          <w:lang w:val="zh-CN"/>
        </w:rPr>
        <w:t>第二章  饮用水源保护区的划定</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jc w:val="center"/>
        <w:textAlignment w:val="auto"/>
        <w:outlineLvl w:val="9"/>
        <w:rPr>
          <w:rFonts w:hint="eastAsia" w:ascii="宋体" w:hAnsi="宋体" w:eastAsia="仿宋_GB2312" w:cs="仿宋_GB2312"/>
          <w:b w:val="0"/>
          <w:bCs/>
          <w:lang w:val="zh-CN"/>
        </w:rPr>
      </w:pP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w:t>
      </w:r>
      <w:r>
        <w:rPr>
          <w:rFonts w:hint="eastAsia" w:ascii="宋体" w:hAnsi="宋体" w:eastAsia="黑体" w:cs="黑体"/>
          <w:b w:val="0"/>
          <w:bCs/>
          <w:kern w:val="0"/>
          <w:szCs w:val="22"/>
          <w:lang w:val="zh-CN"/>
        </w:rPr>
        <w:t>第九条</w:t>
      </w:r>
      <w:r>
        <w:rPr>
          <w:rFonts w:hint="eastAsia" w:ascii="宋体" w:hAnsi="宋体" w:eastAsia="仿宋_GB2312" w:cs="仿宋_GB2312"/>
          <w:b w:val="0"/>
          <w:bCs/>
          <w:lang w:val="zh-CN"/>
        </w:rPr>
        <w:t>　</w:t>
      </w:r>
      <w:r>
        <w:rPr>
          <w:rFonts w:hint="eastAsia" w:ascii="宋体" w:hAnsi="宋体" w:eastAsia="仿宋_GB2312" w:cs="仿宋_GB2312"/>
          <w:b w:val="0"/>
          <w:bCs/>
        </w:rPr>
        <w:t>饮用水源保护区是指依法在饮用水源取水口附近划定的水域和陆域。饮用水源保护区分一级保护区、二级保护区。必要时，可以在饮用水源保护区外围划定一定的区域作为准保护区。</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饮用水源保护区的划定，应当符合水环境功能区划。</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w:t>
      </w:r>
      <w:r>
        <w:rPr>
          <w:rFonts w:hint="eastAsia" w:ascii="宋体" w:hAnsi="宋体" w:eastAsia="黑体" w:cs="黑体"/>
          <w:b w:val="0"/>
          <w:bCs/>
          <w:kern w:val="0"/>
          <w:szCs w:val="22"/>
          <w:lang w:val="zh-CN"/>
        </w:rPr>
        <w:t>第十条</w:t>
      </w:r>
      <w:r>
        <w:rPr>
          <w:rFonts w:hint="eastAsia" w:ascii="宋体" w:hAnsi="宋体" w:eastAsia="仿宋_GB2312" w:cs="仿宋_GB2312"/>
          <w:b w:val="0"/>
          <w:bCs/>
          <w:lang w:val="zh-CN"/>
        </w:rPr>
        <w:t>　饮用水源保护区依照《中华人民共和国水污染防治法》及其实施细则、《中华人民共和国水法》《中华人民共和国土地管理法》等有关规定划定，并予以公告。</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3"/>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跨市、县饮用水源保护区的划定，由相关市、县人民政府协商提出划定方案，由地级以上市人民政府报省人民政府批准；协商不成的，由省人民政府环境保护行政主管部门会同有关行政主管部门和相关市、县人民政府提出划定方案，由省人民政府环境保护行政主管部门报省人民政府批准。</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3"/>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饮用水源保护区划定的技术规范，由省人民政府环境保护行政主管部门会同有关行政主管部门制定。</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0"/>
        <w:textAlignment w:val="auto"/>
        <w:outlineLvl w:val="9"/>
        <w:rPr>
          <w:rFonts w:hint="eastAsia" w:ascii="宋体" w:hAnsi="宋体" w:eastAsia="仿宋_GB2312" w:cs="仿宋_GB2312"/>
          <w:b w:val="0"/>
          <w:bCs/>
          <w:szCs w:val="22"/>
          <w:lang w:val="zh-CN"/>
        </w:rPr>
      </w:pPr>
      <w:r>
        <w:rPr>
          <w:rFonts w:hint="eastAsia" w:ascii="宋体" w:hAnsi="宋体" w:eastAsia="仿宋_GB2312" w:cs="仿宋_GB2312"/>
          <w:b w:val="0"/>
          <w:bCs/>
          <w:lang w:val="zh-CN"/>
        </w:rPr>
        <w:t>饮用水源保护区需要调整的，按照国家和本条例规定的划定饮用</w:t>
      </w:r>
      <w:r>
        <w:rPr>
          <w:rFonts w:hint="eastAsia" w:ascii="宋体" w:hAnsi="宋体" w:eastAsia="仿宋_GB2312" w:cs="仿宋_GB2312"/>
          <w:b w:val="0"/>
          <w:bCs/>
          <w:szCs w:val="22"/>
          <w:lang w:val="zh-CN"/>
        </w:rPr>
        <w:t>水源保护区的程序办理。</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0"/>
        <w:textAlignment w:val="auto"/>
        <w:outlineLvl w:val="9"/>
        <w:rPr>
          <w:rFonts w:hint="eastAsia" w:ascii="宋体" w:hAnsi="宋体" w:eastAsia="仿宋_GB2312" w:cs="仿宋_GB2312"/>
          <w:b w:val="0"/>
          <w:bCs/>
          <w:szCs w:val="22"/>
          <w:lang w:val="zh-CN"/>
        </w:rPr>
      </w:pPr>
      <w:r>
        <w:rPr>
          <w:rFonts w:hint="eastAsia" w:ascii="宋体" w:hAnsi="宋体" w:eastAsia="黑体" w:cs="黑体"/>
          <w:b w:val="0"/>
          <w:bCs/>
          <w:kern w:val="0"/>
          <w:szCs w:val="22"/>
          <w:lang w:val="zh-CN"/>
        </w:rPr>
        <w:t>第十一条</w:t>
      </w:r>
      <w:r>
        <w:rPr>
          <w:rFonts w:hint="eastAsia" w:ascii="宋体" w:hAnsi="宋体" w:eastAsia="仿宋_GB2312" w:cs="仿宋_GB2312"/>
          <w:b w:val="0"/>
          <w:bCs/>
          <w:szCs w:val="22"/>
          <w:lang w:val="zh-CN"/>
        </w:rPr>
        <w:t>　单一水源供水城市的人民政府应当建设应急水源或者备用水源。</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szCs w:val="22"/>
          <w:lang w:val="zh-CN"/>
        </w:rPr>
        <w:t>县级以上人</w:t>
      </w:r>
      <w:r>
        <w:rPr>
          <w:rFonts w:hint="eastAsia" w:ascii="宋体" w:hAnsi="宋体" w:eastAsia="仿宋_GB2312" w:cs="仿宋_GB2312"/>
          <w:b w:val="0"/>
          <w:bCs/>
          <w:lang w:val="zh-CN"/>
        </w:rPr>
        <w:t>民政府可以根据本辖区的经济社会和人口发展情况以及水源分布和用水需要，确定备用饮用水源。</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确定为备用饮用水源的，应当采取措施加强保护。</w:t>
      </w:r>
    </w:p>
    <w:p>
      <w:pPr>
        <w:pStyle w:val="56"/>
        <w:keepNext w:val="0"/>
        <w:keepLines w:val="0"/>
        <w:pageBreakBefore w:val="0"/>
        <w:widowControl w:val="0"/>
        <w:kinsoku/>
        <w:wordWrap/>
        <w:overflowPunct w:val="0"/>
        <w:topLinePunct w:val="0"/>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lang w:val="zh-CN"/>
        </w:rPr>
      </w:pPr>
      <w:r>
        <w:rPr>
          <w:rFonts w:hint="eastAsia" w:ascii="宋体" w:hAnsi="宋体" w:eastAsia="黑体" w:cs="黑体"/>
          <w:b w:val="0"/>
          <w:bCs/>
          <w:kern w:val="0"/>
          <w:sz w:val="32"/>
          <w:szCs w:val="22"/>
          <w:lang w:val="zh-CN" w:eastAsia="zh-CN" w:bidi="ar-SA"/>
        </w:rPr>
        <w:t>第十二条</w:t>
      </w:r>
      <w:r>
        <w:rPr>
          <w:rFonts w:hint="eastAsia" w:ascii="宋体" w:hAnsi="宋体" w:eastAsia="仿宋_GB2312" w:cs="仿宋_GB2312"/>
          <w:b w:val="0"/>
          <w:bCs/>
          <w:lang w:val="zh-CN"/>
        </w:rPr>
        <w:t>　因划定或者调整饮用水源保护区，对饮用水源保护区内的公民、法人和其他组织的合法权益造成损害的，有关人民政府应当依法予以补偿。</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jc w:val="center"/>
        <w:textAlignment w:val="auto"/>
        <w:outlineLvl w:val="9"/>
        <w:rPr>
          <w:rFonts w:hint="eastAsia" w:ascii="宋体" w:hAnsi="宋体" w:eastAsia="黑体" w:cs="黑体"/>
          <w:b w:val="0"/>
          <w:bCs/>
          <w:kern w:val="0"/>
          <w:szCs w:val="22"/>
          <w:lang w:val="zh-CN"/>
        </w:rPr>
      </w:pPr>
      <w:r>
        <w:rPr>
          <w:rFonts w:hint="eastAsia" w:ascii="宋体" w:hAnsi="宋体" w:eastAsia="黑体" w:cs="黑体"/>
          <w:b w:val="0"/>
          <w:bCs/>
          <w:kern w:val="0"/>
          <w:szCs w:val="22"/>
          <w:lang w:val="zh-CN"/>
        </w:rPr>
        <w:t>第三章  饮用水源保护区水质保护</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w:t>
      </w:r>
      <w:r>
        <w:rPr>
          <w:rFonts w:hint="eastAsia" w:ascii="宋体" w:hAnsi="宋体" w:eastAsia="黑体" w:cs="黑体"/>
          <w:b w:val="0"/>
          <w:bCs/>
          <w:kern w:val="0"/>
          <w:szCs w:val="22"/>
          <w:lang w:val="zh-CN"/>
        </w:rPr>
        <w:t>　第十三条　</w:t>
      </w:r>
      <w:r>
        <w:rPr>
          <w:rFonts w:hint="eastAsia" w:ascii="宋体" w:hAnsi="宋体" w:eastAsia="仿宋_GB2312" w:cs="仿宋_GB2312"/>
          <w:b w:val="0"/>
          <w:bCs/>
          <w:lang w:val="zh-CN"/>
        </w:rPr>
        <w:t>饮用水源保护区水质应当符合国家规定的标准。</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szCs w:val="22"/>
          <w:lang w:val="zh-CN"/>
        </w:rPr>
      </w:pPr>
      <w:r>
        <w:rPr>
          <w:rFonts w:hint="eastAsia" w:ascii="宋体" w:hAnsi="宋体" w:eastAsia="仿宋_GB2312" w:cs="仿宋_GB2312"/>
          <w:b w:val="0"/>
          <w:bCs/>
          <w:lang w:val="zh-CN"/>
        </w:rPr>
        <w:t>　</w:t>
      </w:r>
      <w:r>
        <w:rPr>
          <w:rFonts w:hint="eastAsia" w:ascii="宋体" w:hAnsi="宋体" w:eastAsia="仿宋_GB2312" w:cs="仿宋_GB2312"/>
          <w:b w:val="0"/>
          <w:bCs/>
          <w:kern w:val="0"/>
          <w:lang w:val="zh-CN"/>
        </w:rPr>
        <w:t>　</w:t>
      </w:r>
      <w:r>
        <w:rPr>
          <w:rFonts w:hint="eastAsia" w:ascii="宋体" w:hAnsi="宋体" w:eastAsia="黑体" w:cs="黑体"/>
          <w:b w:val="0"/>
          <w:bCs/>
          <w:kern w:val="0"/>
          <w:szCs w:val="22"/>
          <w:lang w:val="zh-CN"/>
        </w:rPr>
        <w:t>第十四条　</w:t>
      </w:r>
      <w:r>
        <w:rPr>
          <w:rFonts w:hint="eastAsia" w:ascii="宋体" w:hAnsi="宋体" w:eastAsia="仿宋_GB2312" w:cs="仿宋_GB2312"/>
          <w:b w:val="0"/>
          <w:bCs/>
          <w:lang w:val="zh-CN"/>
        </w:rPr>
        <w:t>县级以上人民政府可以依法征用饮用水源一级保护</w:t>
      </w:r>
      <w:r>
        <w:rPr>
          <w:rFonts w:hint="eastAsia" w:ascii="宋体" w:hAnsi="宋体" w:eastAsia="仿宋_GB2312" w:cs="仿宋_GB2312"/>
          <w:b w:val="0"/>
          <w:bCs/>
          <w:szCs w:val="22"/>
          <w:lang w:val="zh-CN"/>
        </w:rPr>
        <w:t>区内的土地，用于涵养饮用水源，保护饮用水源水质。</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szCs w:val="22"/>
          <w:lang w:val="zh-CN"/>
        </w:rPr>
      </w:pPr>
      <w:r>
        <w:rPr>
          <w:rFonts w:hint="eastAsia" w:ascii="宋体" w:hAnsi="宋体" w:eastAsia="仿宋_GB2312" w:cs="仿宋_GB2312"/>
          <w:b w:val="0"/>
          <w:bCs/>
          <w:szCs w:val="22"/>
          <w:lang w:val="zh-CN"/>
        </w:rPr>
        <w:t xml:space="preserve">　  </w:t>
      </w:r>
      <w:r>
        <w:rPr>
          <w:rFonts w:hint="eastAsia" w:ascii="宋体" w:hAnsi="宋体" w:eastAsia="黑体" w:cs="黑体"/>
          <w:b w:val="0"/>
          <w:bCs/>
          <w:kern w:val="0"/>
          <w:szCs w:val="22"/>
          <w:lang w:val="zh-CN"/>
        </w:rPr>
        <w:t xml:space="preserve">第十五条  </w:t>
      </w:r>
      <w:r>
        <w:rPr>
          <w:rFonts w:hint="eastAsia" w:ascii="宋体" w:hAnsi="宋体" w:eastAsia="仿宋_GB2312" w:cs="仿宋_GB2312"/>
          <w:b w:val="0"/>
          <w:bCs/>
          <w:szCs w:val="22"/>
          <w:lang w:val="zh-CN"/>
        </w:rPr>
        <w:t>饮用水水源保护区内禁止下列行为：</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22"/>
          <w:lang w:val="zh-CN"/>
        </w:rPr>
      </w:pPr>
      <w:r>
        <w:rPr>
          <w:rFonts w:hint="eastAsia" w:ascii="宋体" w:hAnsi="宋体" w:eastAsia="仿宋_GB2312" w:cs="仿宋_GB2312"/>
          <w:b w:val="0"/>
          <w:bCs/>
          <w:szCs w:val="22"/>
          <w:lang w:val="zh-CN"/>
        </w:rPr>
        <w:t>（一）新建、改建、扩建排放污染物的建设项目；</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22"/>
          <w:lang w:val="zh-CN"/>
        </w:rPr>
      </w:pPr>
      <w:r>
        <w:rPr>
          <w:rFonts w:hint="eastAsia" w:ascii="宋体" w:hAnsi="宋体" w:eastAsia="仿宋_GB2312" w:cs="仿宋_GB2312"/>
          <w:b w:val="0"/>
          <w:bCs/>
          <w:szCs w:val="22"/>
          <w:lang w:val="zh-CN"/>
        </w:rPr>
        <w:t>（二）设置排污口；</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22"/>
          <w:lang w:val="zh-CN"/>
        </w:rPr>
      </w:pPr>
      <w:r>
        <w:rPr>
          <w:rFonts w:hint="eastAsia" w:ascii="宋体" w:hAnsi="宋体" w:eastAsia="仿宋_GB2312" w:cs="仿宋_GB2312"/>
          <w:b w:val="0"/>
          <w:bCs/>
          <w:szCs w:val="22"/>
          <w:lang w:val="zh-CN"/>
        </w:rPr>
        <w:t>（三）设置油类及其他有毒有害物品的储存罐、仓库、堆栈、油气管道和废弃物回收场、加工场；</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22"/>
          <w:lang w:val="zh-CN"/>
        </w:rPr>
      </w:pPr>
      <w:r>
        <w:rPr>
          <w:rFonts w:hint="eastAsia" w:ascii="宋体" w:hAnsi="宋体" w:eastAsia="仿宋_GB2312" w:cs="仿宋_GB2312"/>
          <w:b w:val="0"/>
          <w:bCs/>
          <w:szCs w:val="22"/>
          <w:lang w:val="zh-CN"/>
        </w:rPr>
        <w:t>（四）设置占用河面、湖面等饮用水源水体或者直接向河面、湖面等水体排放污染物的餐饮、娱乐设施；</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22"/>
          <w:lang w:val="zh-CN"/>
        </w:rPr>
      </w:pPr>
      <w:r>
        <w:rPr>
          <w:rFonts w:hint="eastAsia" w:ascii="宋体" w:hAnsi="宋体" w:eastAsia="仿宋_GB2312" w:cs="仿宋_GB2312"/>
          <w:b w:val="0"/>
          <w:bCs/>
          <w:szCs w:val="22"/>
          <w:lang w:val="zh-CN"/>
        </w:rPr>
        <w:t>（五）设置畜禽养殖场、养殖小区；</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22"/>
          <w:lang w:val="zh-CN"/>
        </w:rPr>
      </w:pPr>
      <w:r>
        <w:rPr>
          <w:rFonts w:hint="eastAsia" w:ascii="宋体" w:hAnsi="宋体" w:eastAsia="仿宋_GB2312" w:cs="仿宋_GB2312"/>
          <w:b w:val="0"/>
          <w:bCs/>
          <w:szCs w:val="22"/>
          <w:lang w:val="zh-CN"/>
        </w:rPr>
        <w:t>（六）排放、倾倒、堆放、填埋、焚烧剧毒物品、放射性物质以及油类、酸碱类物质、工业废渣、生活垃圾、医疗废物、粪便及其他废弃物；</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22"/>
          <w:lang w:val="zh-CN"/>
        </w:rPr>
      </w:pPr>
      <w:r>
        <w:rPr>
          <w:rFonts w:hint="eastAsia" w:ascii="宋体" w:hAnsi="宋体" w:eastAsia="仿宋_GB2312" w:cs="仿宋_GB2312"/>
          <w:b w:val="0"/>
          <w:bCs/>
          <w:szCs w:val="22"/>
          <w:lang w:val="zh-CN"/>
        </w:rPr>
        <w:t>（七）从事船舶制造、修理、拆解作业；</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22"/>
          <w:lang w:val="zh-CN"/>
        </w:rPr>
      </w:pPr>
      <w:r>
        <w:rPr>
          <w:rFonts w:hint="eastAsia" w:ascii="宋体" w:hAnsi="宋体" w:eastAsia="仿宋_GB2312" w:cs="仿宋_GB2312"/>
          <w:b w:val="0"/>
          <w:bCs/>
          <w:szCs w:val="22"/>
          <w:lang w:val="zh-CN"/>
        </w:rPr>
        <w:t>（八）利用码头等设施装卸油类、垃圾、粪便、煤、有毒有害物品；</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22"/>
          <w:lang w:val="zh-CN"/>
        </w:rPr>
      </w:pPr>
      <w:r>
        <w:rPr>
          <w:rFonts w:hint="eastAsia" w:ascii="宋体" w:hAnsi="宋体" w:eastAsia="仿宋_GB2312" w:cs="仿宋_GB2312"/>
          <w:b w:val="0"/>
          <w:bCs/>
          <w:szCs w:val="22"/>
          <w:lang w:val="zh-CN"/>
        </w:rPr>
        <w:t>（九）利用船舶运输剧毒物品、危险废物以及国家规定禁止运输的其他危险化学品；</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22"/>
          <w:lang w:val="zh-CN"/>
        </w:rPr>
      </w:pPr>
      <w:r>
        <w:rPr>
          <w:rFonts w:hint="eastAsia" w:ascii="宋体" w:hAnsi="宋体" w:eastAsia="仿宋_GB2312" w:cs="仿宋_GB2312"/>
          <w:b w:val="0"/>
          <w:bCs/>
          <w:szCs w:val="22"/>
          <w:lang w:val="zh-CN"/>
        </w:rPr>
        <w:t>（十）运输剧毒物品的车辆通行；</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22"/>
          <w:lang w:val="zh-CN"/>
        </w:rPr>
      </w:pPr>
      <w:r>
        <w:rPr>
          <w:rFonts w:hint="eastAsia" w:ascii="宋体" w:hAnsi="宋体" w:eastAsia="仿宋_GB2312" w:cs="仿宋_GB2312"/>
          <w:b w:val="0"/>
          <w:bCs/>
          <w:szCs w:val="22"/>
          <w:lang w:val="zh-CN"/>
        </w:rPr>
        <w:t>（十一）使用剧毒和高残留农药；</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22"/>
          <w:lang w:val="zh-CN"/>
        </w:rPr>
      </w:pPr>
      <w:r>
        <w:rPr>
          <w:rFonts w:hint="eastAsia" w:ascii="宋体" w:hAnsi="宋体" w:eastAsia="仿宋_GB2312" w:cs="仿宋_GB2312"/>
          <w:b w:val="0"/>
          <w:bCs/>
          <w:szCs w:val="22"/>
          <w:lang w:val="zh-CN"/>
        </w:rPr>
        <w:t>（十二）使用含磷洗涤剂；</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22"/>
          <w:lang w:val="zh-CN"/>
        </w:rPr>
      </w:pPr>
      <w:r>
        <w:rPr>
          <w:rFonts w:hint="eastAsia" w:ascii="宋体" w:hAnsi="宋体" w:eastAsia="仿宋_GB2312" w:cs="仿宋_GB2312"/>
          <w:b w:val="0"/>
          <w:bCs/>
          <w:szCs w:val="22"/>
          <w:lang w:val="zh-CN"/>
        </w:rPr>
        <w:t>（十三）破坏水环境生态平衡、水源涵养林、护岸林、与水源保护相关的植被的活动；</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22"/>
          <w:lang w:val="zh-CN"/>
        </w:rPr>
      </w:pPr>
      <w:r>
        <w:rPr>
          <w:rFonts w:hint="eastAsia" w:ascii="宋体" w:hAnsi="宋体" w:eastAsia="仿宋_GB2312" w:cs="仿宋_GB2312"/>
          <w:b w:val="0"/>
          <w:bCs/>
          <w:szCs w:val="22"/>
          <w:lang w:val="zh-CN"/>
        </w:rPr>
        <w:t>（十四）使用炸药、有毒物品捕杀水生动物；</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22"/>
          <w:lang w:val="zh-CN"/>
        </w:rPr>
      </w:pPr>
      <w:r>
        <w:rPr>
          <w:rFonts w:hint="eastAsia" w:ascii="宋体" w:hAnsi="宋体" w:eastAsia="仿宋_GB2312" w:cs="仿宋_GB2312"/>
          <w:b w:val="0"/>
          <w:bCs/>
          <w:szCs w:val="22"/>
          <w:lang w:val="zh-CN"/>
        </w:rPr>
        <w:t>（十五）开山采石和非疏浚性采砂；</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22"/>
          <w:lang w:val="zh-CN"/>
        </w:rPr>
      </w:pPr>
      <w:r>
        <w:rPr>
          <w:rFonts w:hint="eastAsia" w:ascii="宋体" w:hAnsi="宋体" w:eastAsia="仿宋_GB2312" w:cs="仿宋_GB2312"/>
          <w:b w:val="0"/>
          <w:bCs/>
          <w:szCs w:val="22"/>
          <w:lang w:val="zh-CN"/>
        </w:rPr>
        <w:t>（十六）其他污染水源的项目。</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22"/>
          <w:lang w:val="zh-CN"/>
        </w:rPr>
      </w:pPr>
      <w:r>
        <w:rPr>
          <w:rFonts w:hint="eastAsia" w:ascii="宋体" w:hAnsi="宋体" w:eastAsia="仿宋_GB2312" w:cs="仿宋_GB2312"/>
          <w:b w:val="0"/>
          <w:bCs/>
          <w:szCs w:val="22"/>
          <w:lang w:val="zh-CN"/>
        </w:rPr>
        <w:t>运载前款第九项规定以外物品的船舶穿越饮用水水源保护区，应当配备防溢、防渗、防漏、防散落设备，收集残油、废油、含油废水、生活污染物等废弃物的设施，以及船舶发生事故时防止污染水体的应急设备。</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w:t>
      </w:r>
      <w:r>
        <w:rPr>
          <w:rFonts w:hint="eastAsia" w:ascii="宋体" w:hAnsi="宋体" w:eastAsia="黑体" w:cs="黑体"/>
          <w:b w:val="0"/>
          <w:bCs/>
          <w:lang w:val="zh-CN"/>
        </w:rPr>
        <w:t xml:space="preserve">  </w:t>
      </w:r>
      <w:r>
        <w:rPr>
          <w:rFonts w:hint="eastAsia" w:ascii="宋体" w:hAnsi="宋体" w:eastAsia="黑体" w:cs="黑体"/>
          <w:b w:val="0"/>
          <w:bCs/>
          <w:kern w:val="0"/>
          <w:lang w:val="zh-CN"/>
        </w:rPr>
        <w:t>第十六条</w:t>
      </w:r>
      <w:r>
        <w:rPr>
          <w:rFonts w:hint="eastAsia" w:ascii="宋体" w:hAnsi="宋体" w:eastAsia="仿宋_GB2312" w:cs="仿宋_GB2312"/>
          <w:b w:val="0"/>
          <w:bCs/>
          <w:lang w:val="zh-CN"/>
        </w:rPr>
        <w:t>　饮用水水源一级保护区内还禁止下列行为：</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（一）新建、</w:t>
      </w:r>
      <w:r>
        <w:rPr>
          <w:rFonts w:hint="eastAsia" w:ascii="宋体" w:hAnsi="宋体" w:eastAsia="仿宋_GB2312" w:cs="仿宋_GB2312"/>
          <w:b w:val="0"/>
          <w:bCs/>
        </w:rPr>
        <w:t>改建、</w:t>
      </w:r>
      <w:r>
        <w:rPr>
          <w:rFonts w:hint="eastAsia" w:ascii="宋体" w:hAnsi="宋体" w:eastAsia="仿宋_GB2312" w:cs="仿宋_GB2312"/>
          <w:b w:val="0"/>
          <w:bCs/>
          <w:lang w:val="zh-CN"/>
        </w:rPr>
        <w:t>扩建与供水设施和保护水源无关的项目；</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（二）设置旅游设施、码头；</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（三）向水体排放、倾倒污水；</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（四）放养畜禽和从事网箱养殖活动；</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（五）从事旅游、游泳、</w:t>
      </w:r>
      <w:r>
        <w:rPr>
          <w:rFonts w:hint="eastAsia" w:ascii="宋体" w:hAnsi="宋体" w:eastAsia="仿宋_GB2312" w:cs="仿宋_GB2312"/>
          <w:b w:val="0"/>
          <w:bCs/>
        </w:rPr>
        <w:t>垂钓、</w:t>
      </w:r>
      <w:r>
        <w:rPr>
          <w:rFonts w:hint="eastAsia" w:ascii="宋体" w:hAnsi="宋体" w:eastAsia="仿宋_GB2312" w:cs="仿宋_GB2312"/>
          <w:b w:val="0"/>
          <w:bCs/>
          <w:lang w:val="zh-CN"/>
        </w:rPr>
        <w:t>洗涤和其他可能污染水源的活动；</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（六）停泊与保护水源无关的船舶、木（竹）排。</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rPr>
      </w:pPr>
      <w:r>
        <w:rPr>
          <w:rFonts w:hint="eastAsia" w:ascii="宋体" w:hAnsi="宋体" w:eastAsia="黑体" w:cs="黑体"/>
          <w:b w:val="0"/>
          <w:bCs/>
          <w:szCs w:val="22"/>
          <w:lang w:val="zh-CN"/>
        </w:rPr>
        <w:t>第十七条</w:t>
      </w:r>
      <w:r>
        <w:rPr>
          <w:rFonts w:hint="eastAsia" w:ascii="宋体" w:hAnsi="宋体" w:eastAsia="仿宋_GB2312" w:cs="仿宋_GB2312"/>
          <w:b w:val="0"/>
          <w:bCs/>
        </w:rPr>
        <w:t xml:space="preserve">  饮用水水源一级保护区内已建成的与供水设施和保护水源无关的建设项目，以及饮用水水源二级保护区内已建成的排放污染物的建设项目，由县级以上人民政府依法责令拆除或者关闭。在饮用水水源二级保护区内从事网箱养殖、旅游等活动的，应当按照规定采取措施，防止污染饮用水水体。</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rPr>
      </w:pPr>
      <w:r>
        <w:rPr>
          <w:rFonts w:hint="eastAsia" w:ascii="宋体" w:hAnsi="宋体" w:eastAsia="仿宋_GB2312" w:cs="仿宋_GB2312"/>
          <w:b w:val="0"/>
          <w:bCs/>
        </w:rPr>
        <w:t>禁止在饮用水水源准保护区内新建、扩建对水体污染严重的建设项目；改建建设项目，不得增加排污量。</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lang w:val="zh-CN"/>
        </w:rPr>
      </w:pPr>
      <w:r>
        <w:rPr>
          <w:rFonts w:hint="eastAsia" w:ascii="宋体" w:hAnsi="宋体" w:eastAsia="黑体" w:cs="黑体"/>
          <w:b w:val="0"/>
          <w:bCs/>
          <w:szCs w:val="22"/>
          <w:lang w:val="zh-CN"/>
        </w:rPr>
        <w:t>第十八条</w:t>
      </w:r>
      <w:r>
        <w:rPr>
          <w:rFonts w:hint="eastAsia" w:ascii="宋体" w:hAnsi="宋体" w:eastAsia="仿宋_GB2312" w:cs="仿宋_GB2312"/>
          <w:b w:val="0"/>
          <w:bCs/>
          <w:lang w:val="zh-CN"/>
        </w:rPr>
        <w:t>　县级以上人民政府及其有关部门应当采取有效措施，加强对地下饮用水源保护区的保护，严格按照国家有关规定防治地下饮用水源保护区的水质污染。</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公民、法人和其他组织应当严格遵守国家有关规定，不得污染地下饮用水源水质。</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w:t>
      </w:r>
      <w:r>
        <w:rPr>
          <w:rFonts w:hint="eastAsia" w:ascii="宋体" w:hAnsi="宋体" w:eastAsia="黑体" w:cs="黑体"/>
          <w:b w:val="0"/>
          <w:bCs/>
          <w:szCs w:val="22"/>
          <w:lang w:val="zh-CN"/>
        </w:rPr>
        <w:t>第十九条</w:t>
      </w:r>
      <w:r>
        <w:rPr>
          <w:rFonts w:hint="eastAsia" w:ascii="宋体" w:hAnsi="宋体" w:eastAsia="仿宋_GB2312" w:cs="仿宋_GB2312"/>
          <w:b w:val="0"/>
          <w:bCs/>
          <w:lang w:val="zh-CN"/>
        </w:rPr>
        <w:t>　农村饮用水小型集中式取水点周围半径二百米区域内禁止下列行为：</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（一）清洗装贮过有毒有害物品的容器；</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（二）使用剧毒、高残留农药；</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（三）建立墓地；</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（四）掩埋动物尸体。</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农村饮用水小型集中式取水点周围半径一百米区域内还禁止下列行为：</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（一）设置排污口；</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（二）设置饲养场、肥料堆积场、公共厕所；</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（三）堆积垃圾、工业废料。</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违反前两款规定的，当地村民委员会有权要求其立即停止违法行为，消除危害，并可以向当地人民政府环境保护行政主管部门报告。环境保护行政主管部门接到报告或者发现违反前两款规定的行为，应当及时采取措施予以制止。</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jc w:val="center"/>
        <w:textAlignment w:val="auto"/>
        <w:outlineLvl w:val="9"/>
        <w:rPr>
          <w:rFonts w:hint="eastAsia" w:ascii="宋体" w:hAnsi="宋体" w:eastAsia="仿宋_GB2312" w:cs="仿宋_GB2312"/>
          <w:b w:val="0"/>
          <w:bCs/>
          <w:lang w:val="zh-CN"/>
        </w:rPr>
      </w:pPr>
    </w:p>
    <w:p>
      <w:pPr>
        <w:keepNext w:val="0"/>
        <w:keepLines w:val="0"/>
        <w:pageBreakBefore w:val="0"/>
        <w:widowControl w:val="0"/>
        <w:kinsoku/>
        <w:wordWrap/>
        <w:overflowPunct w:val="0"/>
        <w:topLinePunct w:val="0"/>
        <w:bidi w:val="0"/>
        <w:snapToGrid/>
        <w:spacing w:beforeLines="0" w:afterLines="0" w:line="590" w:lineRule="exact"/>
        <w:ind w:left="0" w:leftChars="0" w:right="0" w:rightChars="0"/>
        <w:jc w:val="center"/>
        <w:textAlignment w:val="auto"/>
        <w:outlineLvl w:val="9"/>
        <w:rPr>
          <w:rFonts w:hint="eastAsia" w:ascii="宋体" w:hAnsi="宋体" w:eastAsia="仿宋_GB2312" w:cs="仿宋_GB2312"/>
          <w:b w:val="0"/>
          <w:bCs/>
          <w:lang w:val="zh-CN"/>
        </w:rPr>
      </w:pPr>
      <w:r>
        <w:rPr>
          <w:rFonts w:hint="eastAsia" w:ascii="宋体" w:hAnsi="宋体" w:eastAsia="黑体" w:cs="黑体"/>
          <w:b w:val="0"/>
          <w:bCs/>
          <w:szCs w:val="22"/>
          <w:lang w:val="zh-CN"/>
        </w:rPr>
        <w:t>第四章  监督管理</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w:t>
      </w:r>
      <w:r>
        <w:rPr>
          <w:rFonts w:hint="eastAsia" w:ascii="宋体" w:hAnsi="宋体" w:eastAsia="黑体" w:cs="黑体"/>
          <w:b w:val="0"/>
          <w:bCs/>
          <w:szCs w:val="22"/>
          <w:lang w:val="zh-CN"/>
        </w:rPr>
        <w:t>第二十条</w:t>
      </w:r>
      <w:r>
        <w:rPr>
          <w:rFonts w:hint="eastAsia" w:ascii="宋体" w:hAnsi="宋体" w:eastAsia="仿宋_GB2312" w:cs="仿宋_GB2312"/>
          <w:b w:val="0"/>
          <w:bCs/>
          <w:lang w:val="zh-CN"/>
        </w:rPr>
        <w:t>　县级以上人民政府环境保护行政主管部门对饮用水源水质实施监督管理，应当履行下列职责：</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（一）加强监督检查，并做好协调工作；</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（二）对影响饮用水源水质的陆域污染源进行监控；</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（三）组织建设饮用水源水质监测网络，对饮用水源水质实施监测；</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（四）编制本行政区域主要集中式饮用水源地水质月报，及时向社会发布；</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（五）会同有关行政主管部门调查处理饮用水源水质异常情况；</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（六）会同有关行政主管部门依法对饮用水源水质污染事故进行处理。</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w:t>
      </w:r>
      <w:r>
        <w:rPr>
          <w:rFonts w:hint="eastAsia" w:ascii="宋体" w:hAnsi="宋体" w:eastAsia="黑体" w:cs="黑体"/>
          <w:b w:val="0"/>
          <w:bCs/>
          <w:szCs w:val="22"/>
          <w:lang w:val="zh-CN"/>
        </w:rPr>
        <w:t>第二十一条　</w:t>
      </w:r>
      <w:r>
        <w:rPr>
          <w:rFonts w:hint="eastAsia" w:ascii="宋体" w:hAnsi="宋体" w:eastAsia="仿宋_GB2312" w:cs="仿宋_GB2312"/>
          <w:b w:val="0"/>
          <w:bCs/>
          <w:lang w:val="zh-CN"/>
        </w:rPr>
        <w:t>县级以上人民政府有关行政主管部门，应当按照下列职责分工，做好饮用水源水质保护的监督管理工作：</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（一）规划行政主管部门应当做好饮用水源保护区的规划管理工作；</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（二）建设行政主管部门或者人民政府确定的行政主管部门应当加强城镇供水设施的建设和保护，以及城镇生活污水和生活垃圾处理设施的建设和管理，优化供水布局；</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（三）国土行政主管部门应当优先安排饮用水源保护工程用地，并依法及时查处饮用水源保护区内违法用地的行为；</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（四）水行政主管部门应当合理配置水资源，维护水体自净能力，会同国土、林业等行政主管部门做好饮用水源保护有关的水土保持工作；</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（五）公安部门应当加强对运输剧毒、危险化学品的管理；</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（六）海事管理机构应当加强对船舶和水上浮动设施污染的防治和监督管理；</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（七）渔业行政主管部门应当加强渔业船舶和水产养殖业对水质污染的防治；</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（八）农业行政主管部门应当加强对种植业、畜禽养殖业的监督管理，控制农药、化肥、农膜、畜禽粪便对饮用水源的污染；</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（九）林业行政主管部门应当加强对饮用水源涵养林等植被的保护和管理，做好饮用水源湿地保护的组织协调工作；</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（十）卫生行政主管部门应当加强对生活饮用水水质卫生质量的监督、监测和农村饮用水取水点水质的监测工作。</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其他有关行政主管部门应当按照各自职责，做好饮用水源水质保护工作。</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w:t>
      </w:r>
      <w:r>
        <w:rPr>
          <w:rFonts w:hint="eastAsia" w:ascii="宋体" w:hAnsi="宋体" w:eastAsia="黑体" w:cs="黑体"/>
          <w:b w:val="0"/>
          <w:bCs/>
          <w:szCs w:val="22"/>
          <w:lang w:val="zh-CN"/>
        </w:rPr>
        <w:t>　第二十二条　</w:t>
      </w:r>
      <w:r>
        <w:rPr>
          <w:rFonts w:hint="eastAsia" w:ascii="宋体" w:hAnsi="宋体" w:eastAsia="仿宋_GB2312" w:cs="仿宋_GB2312"/>
          <w:b w:val="0"/>
          <w:bCs/>
          <w:lang w:val="zh-CN"/>
        </w:rPr>
        <w:t>各级监察机关应当依法对行政主管部门及其工作人员履行饮用水源水质保护工作职责进行监督检查，及时查处不依法履行职责的行为。</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w:t>
      </w:r>
      <w:r>
        <w:rPr>
          <w:rFonts w:hint="eastAsia" w:ascii="宋体" w:hAnsi="宋体" w:eastAsia="黑体" w:cs="黑体"/>
          <w:b w:val="0"/>
          <w:bCs/>
          <w:szCs w:val="22"/>
          <w:lang w:val="zh-CN"/>
        </w:rPr>
        <w:t>　第二十三条　</w:t>
      </w:r>
      <w:r>
        <w:rPr>
          <w:rFonts w:hint="eastAsia" w:ascii="宋体" w:hAnsi="宋体" w:eastAsia="仿宋_GB2312" w:cs="仿宋_GB2312"/>
          <w:b w:val="0"/>
          <w:bCs/>
          <w:lang w:val="zh-CN"/>
        </w:rPr>
        <w:t>各级人民政府及其有关行政主管部门应当按照下列要求做好农村饮用水源水质保护工作：</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（一）将农村饮用水源水质保护纳入乡村建设和发展规划，做好水源选择、水质鉴定和卫生防护等工作，保障农村饮水安全；</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（二）做好农村改水、改厕以及污水和垃圾集中处理设施建设等治污保洁工作；</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（三）推广生态农业和沼气工程，引导农民科学使用化肥、农药，减少种养业等对饮用水源水质的污染。</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各级人民政府应当加强农村饮用水安全工程建设和维护管理工作，逐步实行城乡统筹区域集中供水，减少小型、分散供水点。</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w:t>
      </w:r>
      <w:r>
        <w:rPr>
          <w:rFonts w:hint="eastAsia" w:ascii="宋体" w:hAnsi="宋体" w:eastAsia="黑体" w:cs="黑体"/>
          <w:b w:val="0"/>
          <w:bCs/>
          <w:szCs w:val="22"/>
          <w:lang w:val="zh-CN"/>
        </w:rPr>
        <w:t>　第二十四条</w:t>
      </w:r>
      <w:r>
        <w:rPr>
          <w:rFonts w:hint="eastAsia" w:ascii="宋体" w:hAnsi="宋体" w:eastAsia="仿宋_GB2312" w:cs="仿宋_GB2312"/>
          <w:b w:val="0"/>
          <w:bCs/>
          <w:lang w:val="zh-CN"/>
        </w:rPr>
        <w:t>　县级以上人民政府应当制定本行政区域内饮用水源水质污染事故应急预案。</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饮用水源受到严重污染、威胁供水安全等紧急情况时，当地人民政府应当立即启动应急预案，保证供水安全。</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rPr>
      </w:pPr>
      <w:r>
        <w:rPr>
          <w:rFonts w:hint="eastAsia" w:ascii="宋体" w:hAnsi="宋体" w:eastAsia="仿宋_GB2312" w:cs="仿宋_GB2312"/>
          <w:b w:val="0"/>
          <w:bCs/>
          <w:lang w:val="zh-CN"/>
        </w:rPr>
        <w:t>　　</w:t>
      </w:r>
      <w:r>
        <w:rPr>
          <w:rFonts w:hint="eastAsia" w:ascii="宋体" w:hAnsi="宋体" w:eastAsia="黑体" w:cs="黑体"/>
          <w:b w:val="0"/>
          <w:bCs/>
          <w:szCs w:val="22"/>
          <w:lang w:val="zh-CN"/>
        </w:rPr>
        <w:t>第二十五条</w:t>
      </w:r>
      <w:r>
        <w:rPr>
          <w:rFonts w:hint="eastAsia" w:ascii="宋体" w:hAnsi="宋体" w:eastAsia="仿宋_GB2312" w:cs="仿宋_GB2312"/>
          <w:b w:val="0"/>
          <w:bCs/>
          <w:lang w:val="zh-CN"/>
        </w:rPr>
        <w:t>　</w:t>
      </w:r>
      <w:r>
        <w:rPr>
          <w:rFonts w:hint="eastAsia" w:ascii="宋体" w:hAnsi="宋体" w:eastAsia="仿宋_GB2312" w:cs="仿宋_GB2312"/>
          <w:b w:val="0"/>
          <w:bCs/>
        </w:rPr>
        <w:t>饮用水供水单位应当做好取水口和出水口的水质检测工作。发现取水口水质不符合饮用水水源水质标准或者出水口水质不符合饮用水卫生标准的，应当及时采取相应措施，并向所在地市、县级人民政府供水主管部门报告。供水主管部门接到报告后，应当通报环境</w:t>
      </w:r>
      <w:r>
        <w:rPr>
          <w:rFonts w:hint="eastAsia" w:ascii="宋体" w:hAnsi="宋体" w:eastAsia="仿宋_GB2312" w:cs="仿宋_GB2312"/>
          <w:b w:val="0"/>
          <w:bCs/>
          <w:lang w:eastAsia="zh-CN"/>
        </w:rPr>
        <w:t>保护</w:t>
      </w:r>
      <w:r>
        <w:rPr>
          <w:rFonts w:hint="eastAsia" w:ascii="宋体" w:hAnsi="宋体" w:eastAsia="仿宋_GB2312" w:cs="仿宋_GB2312"/>
          <w:b w:val="0"/>
          <w:bCs/>
        </w:rPr>
        <w:t>、卫生、水行政等部门。</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rPr>
      </w:pPr>
      <w:r>
        <w:rPr>
          <w:rFonts w:hint="eastAsia" w:ascii="宋体" w:hAnsi="宋体" w:eastAsia="仿宋_GB2312" w:cs="仿宋_GB2312"/>
          <w:b w:val="0"/>
          <w:bCs/>
        </w:rPr>
        <w:t xml:space="preserve">    饮用水供水单位应当对供水水质负责，确保供水设施安全可靠运行，保证供水水质符合国家有关标准。</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lang w:val="zh-CN"/>
        </w:rPr>
      </w:pPr>
      <w:r>
        <w:rPr>
          <w:rFonts w:hint="eastAsia" w:ascii="宋体" w:hAnsi="宋体" w:eastAsia="黑体" w:cs="黑体"/>
          <w:b w:val="0"/>
          <w:bCs/>
          <w:szCs w:val="22"/>
          <w:lang w:val="zh-CN"/>
        </w:rPr>
        <w:t>第二十六条</w:t>
      </w:r>
      <w:r>
        <w:rPr>
          <w:rFonts w:hint="eastAsia" w:ascii="宋体" w:hAnsi="宋体" w:eastAsia="仿宋_GB2312" w:cs="仿宋_GB2312"/>
          <w:b w:val="0"/>
          <w:bCs/>
          <w:lang w:val="zh-CN"/>
        </w:rPr>
        <w:t>　经批准在饮用水源保护区内设置取水口的单位，应当经常对饮用水源保护区进行巡查，发现污染或者可能污染饮用水源的行为或者水质出现异常时，应当立即向当地人民政府环境保护行政主管部门报告；环境保护行政主管部门接到报告后，应当及时组织、协调相关行政主管部门调查处理。</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p>
    <w:p>
      <w:pPr>
        <w:keepNext w:val="0"/>
        <w:keepLines w:val="0"/>
        <w:pageBreakBefore w:val="0"/>
        <w:widowControl w:val="0"/>
        <w:kinsoku/>
        <w:wordWrap/>
        <w:overflowPunct w:val="0"/>
        <w:topLinePunct w:val="0"/>
        <w:bidi w:val="0"/>
        <w:snapToGrid/>
        <w:spacing w:beforeLines="0" w:afterLines="0" w:line="590" w:lineRule="exact"/>
        <w:ind w:left="0" w:leftChars="0" w:right="0" w:rightChars="0"/>
        <w:jc w:val="center"/>
        <w:textAlignment w:val="auto"/>
        <w:outlineLvl w:val="9"/>
        <w:rPr>
          <w:rFonts w:hint="eastAsia" w:ascii="宋体" w:hAnsi="宋体" w:eastAsia="黑体" w:cs="黑体"/>
          <w:b w:val="0"/>
          <w:bCs/>
          <w:szCs w:val="22"/>
          <w:lang w:val="zh-CN"/>
        </w:rPr>
      </w:pPr>
      <w:r>
        <w:rPr>
          <w:rFonts w:hint="eastAsia" w:ascii="宋体" w:hAnsi="宋体" w:eastAsia="黑体" w:cs="黑体"/>
          <w:b w:val="0"/>
          <w:bCs/>
          <w:szCs w:val="22"/>
          <w:lang w:val="zh-CN"/>
        </w:rPr>
        <w:t>第五章  法律责任</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w:t>
      </w:r>
      <w:r>
        <w:rPr>
          <w:rFonts w:hint="eastAsia" w:ascii="宋体" w:hAnsi="宋体" w:eastAsia="黑体" w:cs="黑体"/>
          <w:b w:val="0"/>
          <w:bCs/>
          <w:szCs w:val="22"/>
          <w:lang w:val="zh-CN"/>
        </w:rPr>
        <w:t>第二十七条　</w:t>
      </w:r>
      <w:r>
        <w:rPr>
          <w:rFonts w:hint="eastAsia" w:ascii="宋体" w:hAnsi="宋体" w:eastAsia="仿宋_GB2312" w:cs="仿宋_GB2312"/>
          <w:b w:val="0"/>
          <w:bCs/>
          <w:lang w:val="zh-CN"/>
        </w:rPr>
        <w:t>违反本条例第十五条、第十六条第一项、第二项规定的，由县级以上人民政府责令停业、关闭或者限期拆除、恢复原状，并依法予以处罚；逾期不执行的，依法强制执行。法律法规另有规定的，从其规定。</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316" w:firstLineChars="100"/>
        <w:textAlignment w:val="auto"/>
        <w:outlineLvl w:val="9"/>
        <w:rPr>
          <w:rFonts w:hint="eastAsia" w:ascii="宋体" w:hAnsi="宋体" w:eastAsia="仿宋_GB2312" w:cs="仿宋_GB2312"/>
          <w:b w:val="0"/>
          <w:bCs/>
          <w:lang w:val="zh-CN"/>
        </w:rPr>
      </w:pPr>
      <w:r>
        <w:rPr>
          <w:rFonts w:hint="eastAsia" w:ascii="宋体" w:hAnsi="宋体" w:eastAsia="黑体" w:cs="黑体"/>
          <w:b w:val="0"/>
          <w:bCs/>
          <w:szCs w:val="22"/>
          <w:lang w:val="zh-CN"/>
        </w:rPr>
        <w:t>　第二十八条</w:t>
      </w:r>
      <w:r>
        <w:rPr>
          <w:rFonts w:hint="eastAsia" w:ascii="宋体" w:hAnsi="宋体" w:eastAsia="仿宋_GB2312" w:cs="仿宋_GB2312"/>
          <w:b w:val="0"/>
          <w:bCs/>
          <w:lang w:val="zh-CN"/>
        </w:rPr>
        <w:t>　违反本条例下列规定，由人民政府环境保护行政主管部门责令改正，并可以按以下规定处罚：</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（一）违反本条例第十五条第六项规定，排放、倾倒、堆放、填埋、焚烧剧毒物品、放射性物质</w:t>
      </w:r>
      <w:r>
        <w:rPr>
          <w:rFonts w:hint="eastAsia" w:ascii="宋体" w:hAnsi="宋体" w:eastAsia="仿宋_GB2312" w:cs="仿宋_GB2312"/>
          <w:b w:val="0"/>
          <w:bCs/>
        </w:rPr>
        <w:t>以及</w:t>
      </w:r>
      <w:r>
        <w:rPr>
          <w:rFonts w:hint="eastAsia" w:ascii="宋体" w:hAnsi="宋体" w:eastAsia="仿宋_GB2312" w:cs="仿宋_GB2312"/>
          <w:b w:val="0"/>
          <w:bCs/>
          <w:lang w:val="zh-CN"/>
        </w:rPr>
        <w:t>油类、酸碱类物质的，处十万元以上一百万元以下罚款，情节严重的，报经有批准权的人民政府批准，责令停业、关闭；</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（二）违反本条例第十五条第七项、第八项规定，处二万元以上五万元以下罚款；</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（三）违反本条例第十九条</w:t>
      </w:r>
      <w:r>
        <w:rPr>
          <w:rFonts w:hint="eastAsia" w:ascii="宋体" w:hAnsi="宋体" w:cs="仿宋_GB2312"/>
          <w:b w:val="0"/>
          <w:bCs/>
          <w:lang w:val="zh-CN" w:eastAsia="zh-CN"/>
        </w:rPr>
        <w:t>除</w:t>
      </w:r>
      <w:r>
        <w:rPr>
          <w:rFonts w:hint="eastAsia" w:ascii="宋体" w:hAnsi="宋体" w:eastAsia="仿宋_GB2312" w:cs="仿宋_GB2312"/>
          <w:b w:val="0"/>
          <w:bCs/>
          <w:lang w:val="zh-CN"/>
        </w:rPr>
        <w:t>第一款</w:t>
      </w:r>
      <w:r>
        <w:rPr>
          <w:rFonts w:hint="eastAsia" w:ascii="宋体" w:hAnsi="宋体" w:cs="仿宋_GB2312"/>
          <w:b w:val="0"/>
          <w:bCs/>
          <w:lang w:val="zh-CN"/>
        </w:rPr>
        <w:t>第二项以外的</w:t>
      </w:r>
      <w:r>
        <w:rPr>
          <w:rFonts w:hint="eastAsia" w:ascii="宋体" w:hAnsi="宋体" w:eastAsia="仿宋_GB2312" w:cs="仿宋_GB2312"/>
          <w:b w:val="0"/>
          <w:bCs/>
          <w:lang w:val="zh-CN"/>
        </w:rPr>
        <w:t>规定，对单位处五千元以上一万元以下罚款，对个人处五百元以上一千元以下罚款。</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w:t>
      </w:r>
      <w:r>
        <w:rPr>
          <w:rFonts w:hint="eastAsia" w:ascii="宋体" w:hAnsi="宋体" w:eastAsia="黑体" w:cs="黑体"/>
          <w:b w:val="0"/>
          <w:bCs/>
          <w:szCs w:val="22"/>
          <w:lang w:val="zh-CN"/>
        </w:rPr>
        <w:t>第二十九条　</w:t>
      </w:r>
      <w:r>
        <w:rPr>
          <w:rFonts w:hint="eastAsia" w:ascii="宋体" w:hAnsi="宋体" w:eastAsia="仿宋_GB2312" w:cs="仿宋_GB2312"/>
          <w:b w:val="0"/>
          <w:bCs/>
          <w:lang w:val="zh-CN"/>
        </w:rPr>
        <w:t>违反本条例下列规定，由海事管理机构责令改正，并可以按以下规定处罚：</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（一）船舶违反本条例第十五条第六项规定，倾倒工业废渣的，处二万元以上二十万元以下罚款；</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（二）违反本条例第十五条第九项规定的，处五万元以上十万元以下罚款；</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（三）违反本条例第十五条第二款规定的，处二万元以上五万元以下罚款；</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（四）违反本条例第十六条第六项规定的，处一千元以上</w:t>
      </w:r>
      <w:r>
        <w:rPr>
          <w:rFonts w:hint="eastAsia" w:ascii="宋体" w:hAnsi="宋体" w:cs="仿宋_GB2312"/>
          <w:b w:val="0"/>
          <w:bCs/>
          <w:lang w:val="zh-CN"/>
        </w:rPr>
        <w:t>二</w:t>
      </w:r>
      <w:r>
        <w:rPr>
          <w:rFonts w:hint="eastAsia" w:ascii="宋体" w:hAnsi="宋体" w:eastAsia="仿宋_GB2312" w:cs="仿宋_GB2312"/>
          <w:b w:val="0"/>
          <w:bCs/>
          <w:lang w:val="zh-CN"/>
        </w:rPr>
        <w:t>千元以下罚款。</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lang w:val="zh-CN"/>
        </w:rPr>
      </w:pPr>
      <w:r>
        <w:rPr>
          <w:rFonts w:hint="eastAsia" w:ascii="宋体" w:hAnsi="宋体" w:eastAsia="黑体" w:cs="黑体"/>
          <w:b w:val="0"/>
          <w:bCs/>
          <w:szCs w:val="22"/>
          <w:lang w:val="zh-CN"/>
        </w:rPr>
        <w:t>第三十条</w:t>
      </w:r>
      <w:r>
        <w:rPr>
          <w:rFonts w:hint="eastAsia" w:ascii="宋体" w:hAnsi="宋体" w:eastAsia="仿宋_GB2312" w:cs="仿宋_GB2312"/>
          <w:b w:val="0"/>
          <w:bCs/>
          <w:lang w:val="zh-CN"/>
        </w:rPr>
        <w:t>　违反本条例第十五条第十一项、第十九条第</w:t>
      </w:r>
      <w:r>
        <w:rPr>
          <w:rFonts w:hint="eastAsia" w:ascii="宋体" w:hAnsi="宋体" w:cs="仿宋_GB2312"/>
          <w:b w:val="0"/>
          <w:bCs/>
          <w:lang w:val="zh-CN"/>
        </w:rPr>
        <w:t>一</w:t>
      </w:r>
      <w:r>
        <w:rPr>
          <w:rFonts w:hint="eastAsia" w:ascii="宋体" w:hAnsi="宋体" w:eastAsia="仿宋_GB2312" w:cs="仿宋_GB2312"/>
          <w:b w:val="0"/>
          <w:bCs/>
          <w:lang w:val="zh-CN"/>
        </w:rPr>
        <w:t>款</w:t>
      </w:r>
      <w:r>
        <w:rPr>
          <w:rFonts w:hint="eastAsia" w:ascii="宋体" w:hAnsi="宋体" w:cs="仿宋_GB2312"/>
          <w:b w:val="0"/>
          <w:bCs/>
          <w:lang w:val="zh-CN"/>
        </w:rPr>
        <w:t>第二项</w:t>
      </w:r>
      <w:r>
        <w:rPr>
          <w:rFonts w:hint="eastAsia" w:ascii="宋体" w:hAnsi="宋体" w:eastAsia="仿宋_GB2312" w:cs="仿宋_GB2312"/>
          <w:b w:val="0"/>
          <w:bCs/>
          <w:lang w:val="zh-CN"/>
        </w:rPr>
        <w:t>规定的，由农业行政主管部门责令改正，农药使用者为农产品生产企业、食品和食用农产品仓储企业、专业化病虫害防治服务组织，或者从事农产品生产的农民专业合作社等单位的，处五万元以上十万元以下罚款；农药使用者为个人的，处五千元以上一万元以下罚款。</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w:t>
      </w:r>
      <w:r>
        <w:rPr>
          <w:rFonts w:hint="eastAsia" w:ascii="宋体" w:hAnsi="宋体" w:eastAsia="黑体" w:cs="黑体"/>
          <w:b w:val="0"/>
          <w:bCs/>
          <w:szCs w:val="22"/>
          <w:lang w:val="zh-CN"/>
        </w:rPr>
        <w:t>第三十一条</w:t>
      </w:r>
      <w:r>
        <w:rPr>
          <w:rFonts w:hint="eastAsia" w:ascii="宋体" w:hAnsi="宋体" w:eastAsia="仿宋_GB2312" w:cs="仿宋_GB2312"/>
          <w:b w:val="0"/>
          <w:bCs/>
          <w:lang w:val="zh-CN"/>
        </w:rPr>
        <w:t>　违反本条例第十五条第十四项规定的，依法予以处罚。</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违反本条例第十六条第四项规定，从事网箱养殖活动的，由环境保护行政主管部门责令停止违法行为，处二万元以上十万元以下罚款。</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lang w:val="zh-CN"/>
        </w:rPr>
      </w:pPr>
      <w:r>
        <w:rPr>
          <w:rFonts w:hint="eastAsia" w:ascii="宋体" w:hAnsi="宋体" w:eastAsia="黑体" w:cs="黑体"/>
          <w:b w:val="0"/>
          <w:bCs/>
          <w:szCs w:val="22"/>
          <w:lang w:val="zh-CN"/>
        </w:rPr>
        <w:t>第三十二条</w:t>
      </w:r>
      <w:r>
        <w:rPr>
          <w:rFonts w:hint="eastAsia" w:ascii="宋体" w:hAnsi="宋体" w:eastAsia="仿宋_GB2312" w:cs="仿宋_GB2312"/>
          <w:b w:val="0"/>
          <w:bCs/>
          <w:lang w:val="zh-CN"/>
        </w:rPr>
        <w:t>　违反本条例第十五条第六项规定，排放、倾倒、堆放、填埋、焚烧生活垃圾、粪便的，由市容环境卫生行政主管部门依法予以处罚。</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w:t>
      </w:r>
      <w:r>
        <w:rPr>
          <w:rFonts w:hint="eastAsia" w:ascii="宋体" w:hAnsi="宋体" w:eastAsia="黑体" w:cs="黑体"/>
          <w:b w:val="0"/>
          <w:bCs/>
          <w:szCs w:val="22"/>
          <w:lang w:val="zh-CN"/>
        </w:rPr>
        <w:t>第三十三条</w:t>
      </w:r>
      <w:r>
        <w:rPr>
          <w:rFonts w:hint="eastAsia" w:ascii="宋体" w:hAnsi="宋体" w:eastAsia="仿宋_GB2312" w:cs="仿宋_GB2312"/>
          <w:b w:val="0"/>
          <w:bCs/>
          <w:lang w:val="zh-CN"/>
        </w:rPr>
        <w:t>　违反本条例第十五条第十项、第十三项规定的，分别由公安部门、林业行政主管部门依法予以处罚。</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w:t>
      </w:r>
      <w:r>
        <w:rPr>
          <w:rFonts w:hint="eastAsia" w:ascii="宋体" w:hAnsi="宋体" w:eastAsia="黑体" w:cs="黑体"/>
          <w:b w:val="0"/>
          <w:bCs/>
          <w:szCs w:val="22"/>
          <w:lang w:val="zh-CN"/>
        </w:rPr>
        <w:t>第三十四条</w:t>
      </w:r>
      <w:r>
        <w:rPr>
          <w:rFonts w:hint="eastAsia" w:ascii="宋体" w:hAnsi="宋体" w:eastAsia="仿宋_GB2312" w:cs="仿宋_GB2312"/>
          <w:b w:val="0"/>
          <w:bCs/>
          <w:lang w:val="zh-CN"/>
        </w:rPr>
        <w:t>　违反本条例第十五条第十五项规定的，由国土资源、水行政主管部门依法予以处罚。</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w:t>
      </w:r>
      <w:r>
        <w:rPr>
          <w:rFonts w:hint="eastAsia" w:ascii="宋体" w:hAnsi="宋体" w:eastAsia="黑体" w:cs="黑体"/>
          <w:b w:val="0"/>
          <w:bCs/>
          <w:szCs w:val="22"/>
          <w:lang w:val="zh-CN"/>
        </w:rPr>
        <w:t>　第三十五条</w:t>
      </w:r>
      <w:r>
        <w:rPr>
          <w:rFonts w:hint="eastAsia" w:ascii="宋体" w:hAnsi="宋体" w:eastAsia="仿宋_GB2312" w:cs="仿宋_GB2312"/>
          <w:b w:val="0"/>
          <w:bCs/>
          <w:lang w:val="zh-CN"/>
        </w:rPr>
        <w:t>　违反本条例规定受到行政处罚的单位和个人，应当承担消除污染、排除危害和依法赔偿损失的责任。</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w:t>
      </w:r>
      <w:r>
        <w:rPr>
          <w:rFonts w:hint="eastAsia" w:ascii="宋体" w:hAnsi="宋体" w:eastAsia="黑体" w:cs="黑体"/>
          <w:b w:val="0"/>
          <w:bCs/>
          <w:szCs w:val="22"/>
          <w:lang w:val="zh-CN"/>
        </w:rPr>
        <w:t>第三十六条</w:t>
      </w:r>
      <w:r>
        <w:rPr>
          <w:rFonts w:hint="eastAsia" w:ascii="宋体" w:hAnsi="宋体" w:eastAsia="仿宋_GB2312" w:cs="仿宋_GB2312"/>
          <w:b w:val="0"/>
          <w:bCs/>
          <w:lang w:val="zh-CN"/>
        </w:rPr>
        <w:t>　各级人民政府及其有关部门有下列行为之一的，由上一级行政主管部门或者监察机关责令改正并通报批评；对直接负责的主管人员和其他直接责任人员，由上一级行政主管部门或者监察机关根据情节轻重给予处分；构成犯罪的，依法追究刑事责任：</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（一）违反本条例第二十四条第二款规定，对饮用水源受到严重污染、供水安全受到威胁等紧急情况，未立即启动应急预案，保证供水安全的；</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（二）违反本条例规定，对发生事故或者突发事件造成或者可能造成水源水质污染，未及时按照国家和省的有关规定采取应急措施的；</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（三）违反本条例第二十六条规定，对污染或者可能污染饮用水源的行为或者水质异常情况，接到报告后未及时组织协调相关行政主管部门调查处理的；</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（四）不依法进行处罚的；</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lang w:val="zh-CN"/>
        </w:rPr>
        <w:t>　　（五）滥用职权、贪污受贿、徇私舞弊的。</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r>
        <w:rPr>
          <w:rFonts w:hint="eastAsia" w:ascii="宋体" w:hAnsi="宋体" w:eastAsia="仿宋_GB2312" w:cs="仿宋_GB2312"/>
          <w:b w:val="0"/>
          <w:bCs/>
          <w:kern w:val="0"/>
        </w:rPr>
        <w:t xml:space="preserve">    </w:t>
      </w:r>
      <w:r>
        <w:rPr>
          <w:rFonts w:hint="eastAsia" w:ascii="宋体" w:hAnsi="宋体" w:eastAsia="黑体" w:cs="黑体"/>
          <w:b w:val="0"/>
          <w:bCs/>
          <w:szCs w:val="22"/>
          <w:lang w:val="zh-CN"/>
        </w:rPr>
        <w:t>第三十七条</w:t>
      </w:r>
      <w:r>
        <w:rPr>
          <w:rFonts w:hint="eastAsia" w:ascii="宋体" w:hAnsi="宋体" w:eastAsia="仿宋_GB2312" w:cs="仿宋_GB2312"/>
          <w:b w:val="0"/>
          <w:bCs/>
          <w:lang w:val="zh-CN"/>
        </w:rPr>
        <w:t>　本行政区域内发生重大饮用水源水质污染事故造成严重后果的，对直接责任人依法予以惩处，对负有领导责任的当地人民政府及饮用水源水质保护监督管理部门的主要负责人、分管负责人给予处分。</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lang w:val="zh-CN"/>
        </w:rPr>
      </w:pPr>
    </w:p>
    <w:p>
      <w:pPr>
        <w:keepNext w:val="0"/>
        <w:keepLines w:val="0"/>
        <w:pageBreakBefore w:val="0"/>
        <w:widowControl w:val="0"/>
        <w:kinsoku/>
        <w:wordWrap/>
        <w:overflowPunct w:val="0"/>
        <w:topLinePunct w:val="0"/>
        <w:bidi w:val="0"/>
        <w:snapToGrid/>
        <w:spacing w:beforeLines="0" w:afterLines="0" w:line="590" w:lineRule="exact"/>
        <w:ind w:left="0" w:leftChars="0" w:right="0" w:rightChars="0"/>
        <w:jc w:val="center"/>
        <w:textAlignment w:val="auto"/>
        <w:outlineLvl w:val="9"/>
        <w:rPr>
          <w:rFonts w:hint="eastAsia" w:ascii="宋体" w:hAnsi="宋体" w:eastAsia="黑体" w:cs="黑体"/>
          <w:b w:val="0"/>
          <w:bCs/>
          <w:szCs w:val="22"/>
          <w:lang w:val="zh-CN"/>
        </w:rPr>
      </w:pPr>
      <w:r>
        <w:rPr>
          <w:rFonts w:hint="eastAsia" w:ascii="宋体" w:hAnsi="宋体" w:eastAsia="黑体" w:cs="黑体"/>
          <w:b w:val="0"/>
          <w:bCs/>
          <w:szCs w:val="22"/>
          <w:lang w:val="zh-CN"/>
        </w:rPr>
        <w:t>第六章  附则</w:t>
      </w: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lang w:val="zh-CN"/>
        </w:rPr>
      </w:pPr>
    </w:p>
    <w:p>
      <w:pPr>
        <w:keepNext w:val="0"/>
        <w:keepLines w:val="0"/>
        <w:pageBreakBefore w:val="0"/>
        <w:widowControl w:val="0"/>
        <w:kinsoku/>
        <w:wordWrap/>
        <w:overflowPunct w:val="0"/>
        <w:topLinePunct w:val="0"/>
        <w:bidi w:val="0"/>
        <w:snapToGrid/>
        <w:spacing w:beforeLines="0" w:afterLines="0" w:line="590" w:lineRule="exact"/>
        <w:ind w:left="0" w:leftChars="0" w:right="0" w:rightChars="0"/>
        <w:textAlignment w:val="auto"/>
        <w:outlineLvl w:val="9"/>
        <w:rPr>
          <w:rFonts w:hint="eastAsia" w:ascii="宋体" w:hAnsi="宋体" w:eastAsia="仿宋_GB2312" w:cs="仿宋_GB2312"/>
          <w:b w:val="0"/>
          <w:bCs/>
          <w:kern w:val="0"/>
        </w:rPr>
      </w:pPr>
      <w:r>
        <w:rPr>
          <w:rFonts w:hint="eastAsia" w:ascii="宋体" w:hAnsi="宋体" w:eastAsia="仿宋_GB2312" w:cs="仿宋_GB2312"/>
          <w:b w:val="0"/>
          <w:bCs/>
          <w:lang w:val="zh-CN"/>
        </w:rPr>
        <w:t>　</w:t>
      </w:r>
      <w:r>
        <w:rPr>
          <w:rFonts w:hint="eastAsia" w:ascii="宋体" w:hAnsi="宋体" w:eastAsia="黑体" w:cs="黑体"/>
          <w:b w:val="0"/>
          <w:bCs/>
          <w:szCs w:val="22"/>
          <w:lang w:val="zh-CN"/>
        </w:rPr>
        <w:t>　第三十八条</w:t>
      </w:r>
      <w:r>
        <w:rPr>
          <w:rFonts w:hint="eastAsia" w:ascii="宋体" w:hAnsi="宋体" w:eastAsia="仿宋_GB2312" w:cs="仿宋_GB2312"/>
          <w:b w:val="0"/>
          <w:bCs/>
          <w:lang w:val="zh-CN"/>
        </w:rPr>
        <w:t>　本条例自2007年7月1日起施行。</w:t>
      </w:r>
    </w:p>
    <w:p>
      <w:pPr>
        <w:pStyle w:val="7"/>
        <w:keepNext w:val="0"/>
        <w:keepLines w:val="0"/>
        <w:pageBreakBefore w:val="0"/>
        <w:widowControl w:val="0"/>
        <w:kinsoku/>
        <w:wordWrap/>
        <w:overflowPunct w:val="0"/>
        <w:topLinePunct w:val="0"/>
        <w:autoSpaceDE/>
        <w:autoSpaceDN/>
        <w:bidi w:val="0"/>
        <w:adjustRightInd w:val="0"/>
        <w:snapToGrid w:val="0"/>
        <w:spacing w:beforeLines="0" w:after="0" w:line="590" w:lineRule="exact"/>
        <w:ind w:left="0" w:leftChars="0" w:firstLine="0" w:firstLineChars="0"/>
        <w:contextualSpacing/>
        <w:jc w:val="center"/>
        <w:rPr>
          <w:rFonts w:hint="eastAsia" w:ascii="宋体" w:hAnsi="宋体" w:eastAsia="宋体" w:cs="宋体"/>
          <w:sz w:val="32"/>
          <w:szCs w:val="32"/>
        </w:rPr>
      </w:pPr>
    </w:p>
    <w:p>
      <w:pPr>
        <w:pStyle w:val="7"/>
        <w:keepNext w:val="0"/>
        <w:keepLines w:val="0"/>
        <w:pageBreakBefore w:val="0"/>
        <w:widowControl w:val="0"/>
        <w:kinsoku/>
        <w:wordWrap/>
        <w:overflowPunct w:val="0"/>
        <w:topLinePunct w:val="0"/>
        <w:autoSpaceDE/>
        <w:autoSpaceDN/>
        <w:bidi w:val="0"/>
        <w:adjustRightInd w:val="0"/>
        <w:snapToGrid w:val="0"/>
        <w:spacing w:beforeLines="0" w:after="0" w:line="590" w:lineRule="exact"/>
        <w:ind w:left="0" w:leftChars="0" w:firstLine="0" w:firstLineChars="0"/>
        <w:contextualSpacing/>
        <w:jc w:val="both"/>
        <w:rPr>
          <w:rFonts w:hint="eastAsia" w:ascii="宋体" w:hAnsi="宋体" w:cs="Times New Roman"/>
          <w:color w:val="000000"/>
          <w:spacing w:val="0"/>
          <w:szCs w:val="32"/>
          <w:lang w:val="en-US" w:eastAsia="zh-CN"/>
        </w:rPr>
      </w:pPr>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 wne:kcmPrimary="045A">
      <wne:fci wne:fciName="ApplyStyleName" wne:swArg="0000"/>
    </wne:keymap>
    <wne:keymap wne:kcmPrimary="045A">
      <wne:fci wne:fciName="ApplyStyleName" wne:swArg="0000"/>
    </wne:keymap>
    <wne:keymap wne:kcmPrimary="064E">
      <wne:fci wne:fciName="ApplyStyleName" wne:swArg="000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方正舒体"/>
    <w:panose1 w:val="03000509000000000000"/>
    <w:charset w:val="86"/>
    <w:family w:val="auto"/>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Arial Unicode MS">
    <w:altName w:val="宋体"/>
    <w:panose1 w:val="020B0604020202020204"/>
    <w:charset w:val="86"/>
    <w:family w:val="auto"/>
    <w:pitch w:val="default"/>
    <w:sig w:usb0="00000000" w:usb1="00000000" w:usb2="0000003F" w:usb3="00000000" w:csb0="603F01FF" w:csb1="FFFF0000"/>
  </w:font>
  <w:font w:name="Helvetica">
    <w:altName w:val="Arial"/>
    <w:panose1 w:val="020B0604020202020204"/>
    <w:charset w:val="00"/>
    <w:family w:val="swiss"/>
    <w:pitch w:val="default"/>
    <w:sig w:usb0="00000000" w:usb1="00000000" w:usb2="00000000" w:usb3="00000000" w:csb0="0000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jc w:val="right"/>
      <w:rPr>
        <w:rFonts w:hint="eastAsia" w:ascii="宋体" w:hAnsi="宋体" w:eastAsia="宋体" w:cs="宋体"/>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280" w:firstLineChars="100"/>
      <w:jc w:val="both"/>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VerticalSpacing w:val="224"/>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669CA"/>
    <w:rsid w:val="01101531"/>
    <w:rsid w:val="021A19F2"/>
    <w:rsid w:val="02814674"/>
    <w:rsid w:val="02EE387C"/>
    <w:rsid w:val="03207DCF"/>
    <w:rsid w:val="06CA0732"/>
    <w:rsid w:val="06FB69FC"/>
    <w:rsid w:val="082E1615"/>
    <w:rsid w:val="08FB028F"/>
    <w:rsid w:val="097F3EC9"/>
    <w:rsid w:val="09AE0BD2"/>
    <w:rsid w:val="0A591950"/>
    <w:rsid w:val="0BCB632E"/>
    <w:rsid w:val="0C975119"/>
    <w:rsid w:val="0DF66AFD"/>
    <w:rsid w:val="10C17FCB"/>
    <w:rsid w:val="10E408C5"/>
    <w:rsid w:val="11305FFC"/>
    <w:rsid w:val="12725485"/>
    <w:rsid w:val="13722658"/>
    <w:rsid w:val="13E472B0"/>
    <w:rsid w:val="169505FE"/>
    <w:rsid w:val="187A389D"/>
    <w:rsid w:val="1A4F2738"/>
    <w:rsid w:val="1B320D6A"/>
    <w:rsid w:val="1B5804F5"/>
    <w:rsid w:val="1C7A79A8"/>
    <w:rsid w:val="1C804862"/>
    <w:rsid w:val="1DB516A7"/>
    <w:rsid w:val="1DD10B6A"/>
    <w:rsid w:val="1DFC0F5B"/>
    <w:rsid w:val="1E392A6A"/>
    <w:rsid w:val="205D5FF2"/>
    <w:rsid w:val="21424156"/>
    <w:rsid w:val="22125F06"/>
    <w:rsid w:val="2327517C"/>
    <w:rsid w:val="23B125AF"/>
    <w:rsid w:val="24A245D0"/>
    <w:rsid w:val="26A812C9"/>
    <w:rsid w:val="28D03491"/>
    <w:rsid w:val="29BE3964"/>
    <w:rsid w:val="2A9226B6"/>
    <w:rsid w:val="2ADB486A"/>
    <w:rsid w:val="2AF25E2A"/>
    <w:rsid w:val="2B8569D2"/>
    <w:rsid w:val="2BCD4DA7"/>
    <w:rsid w:val="2C446135"/>
    <w:rsid w:val="2CD44CDF"/>
    <w:rsid w:val="30BE1A3F"/>
    <w:rsid w:val="314016C6"/>
    <w:rsid w:val="31406051"/>
    <w:rsid w:val="31C471E7"/>
    <w:rsid w:val="32BE4252"/>
    <w:rsid w:val="32D26D87"/>
    <w:rsid w:val="33897596"/>
    <w:rsid w:val="34020A0F"/>
    <w:rsid w:val="35395732"/>
    <w:rsid w:val="35A83F41"/>
    <w:rsid w:val="37113F0B"/>
    <w:rsid w:val="377C22F7"/>
    <w:rsid w:val="37A345BD"/>
    <w:rsid w:val="38701D83"/>
    <w:rsid w:val="39094CA1"/>
    <w:rsid w:val="39FA2243"/>
    <w:rsid w:val="3B3657AD"/>
    <w:rsid w:val="3B453931"/>
    <w:rsid w:val="3B4D7FB5"/>
    <w:rsid w:val="3B6B0ACF"/>
    <w:rsid w:val="3B7D21E3"/>
    <w:rsid w:val="3B904A7B"/>
    <w:rsid w:val="3C3708C1"/>
    <w:rsid w:val="3D2A58FF"/>
    <w:rsid w:val="3D523AC9"/>
    <w:rsid w:val="3D786221"/>
    <w:rsid w:val="3DD165F4"/>
    <w:rsid w:val="3E7F4ECA"/>
    <w:rsid w:val="3FD677DC"/>
    <w:rsid w:val="40B2282B"/>
    <w:rsid w:val="421A4C05"/>
    <w:rsid w:val="4304009E"/>
    <w:rsid w:val="43145FA8"/>
    <w:rsid w:val="488C5674"/>
    <w:rsid w:val="4A6514C7"/>
    <w:rsid w:val="4ADF25C5"/>
    <w:rsid w:val="4C3D1EBF"/>
    <w:rsid w:val="4CBD1F36"/>
    <w:rsid w:val="4CE04443"/>
    <w:rsid w:val="51D30A52"/>
    <w:rsid w:val="521D0825"/>
    <w:rsid w:val="54214B14"/>
    <w:rsid w:val="54A8363E"/>
    <w:rsid w:val="54DA3F93"/>
    <w:rsid w:val="553A06BA"/>
    <w:rsid w:val="554F556A"/>
    <w:rsid w:val="56BC64D7"/>
    <w:rsid w:val="571C611D"/>
    <w:rsid w:val="59423945"/>
    <w:rsid w:val="59FC3872"/>
    <w:rsid w:val="5A5D34D3"/>
    <w:rsid w:val="5AC90A31"/>
    <w:rsid w:val="5D8C402D"/>
    <w:rsid w:val="5E931ED9"/>
    <w:rsid w:val="5F333535"/>
    <w:rsid w:val="5F3C75C0"/>
    <w:rsid w:val="63927A58"/>
    <w:rsid w:val="65166242"/>
    <w:rsid w:val="655A15CD"/>
    <w:rsid w:val="658550C2"/>
    <w:rsid w:val="68522858"/>
    <w:rsid w:val="6A0B2D6A"/>
    <w:rsid w:val="6AFB14BB"/>
    <w:rsid w:val="6DD92F90"/>
    <w:rsid w:val="6E2C0B16"/>
    <w:rsid w:val="6F8C4FA2"/>
    <w:rsid w:val="6FA90B07"/>
    <w:rsid w:val="703F0DC7"/>
    <w:rsid w:val="71894C2B"/>
    <w:rsid w:val="732743FE"/>
    <w:rsid w:val="75FB7B3A"/>
    <w:rsid w:val="7722250B"/>
    <w:rsid w:val="777F73B2"/>
    <w:rsid w:val="785F2268"/>
    <w:rsid w:val="78FD118A"/>
    <w:rsid w:val="7A5E352F"/>
    <w:rsid w:val="7ADB2D7A"/>
    <w:rsid w:val="7AE92310"/>
    <w:rsid w:val="7B550A3E"/>
    <w:rsid w:val="7D03139D"/>
    <w:rsid w:val="7D3F1B2F"/>
    <w:rsid w:val="7D480E0F"/>
    <w:rsid w:val="7DE604F5"/>
    <w:rsid w:val="7E431B9D"/>
    <w:rsid w:val="7E97465B"/>
    <w:rsid w:val="7EAD130E"/>
    <w:rsid w:val="7F9266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4">
    <w:name w:val="heading 2"/>
    <w:basedOn w:val="1"/>
    <w:next w:val="1"/>
    <w:qFormat/>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5">
    <w:name w:val="heading 3"/>
    <w:basedOn w:val="1"/>
    <w:next w:val="1"/>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7">
    <w:name w:val="Default Paragraph Font"/>
    <w:link w:val="18"/>
    <w:qFormat/>
    <w:uiPriority w:val="0"/>
    <w:rPr>
      <w:rFonts w:eastAsia="宋体"/>
      <w:sz w:val="24"/>
      <w:szCs w:val="21"/>
    </w:rPr>
  </w:style>
  <w:style w:type="table" w:default="1" w:styleId="16">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eastAsia="宋体" w:cs="Times New Roman"/>
    </w:rPr>
  </w:style>
  <w:style w:type="paragraph" w:styleId="6">
    <w:name w:val="Body Text"/>
    <w:basedOn w:val="1"/>
    <w:qFormat/>
    <w:uiPriority w:val="0"/>
    <w:rPr>
      <w:rFonts w:eastAsia="宋体"/>
      <w:sz w:val="44"/>
      <w:szCs w:val="24"/>
    </w:rPr>
  </w:style>
  <w:style w:type="paragraph" w:styleId="7">
    <w:name w:val="Body Text Indent"/>
    <w:basedOn w:val="1"/>
    <w:qFormat/>
    <w:uiPriority w:val="0"/>
    <w:pPr>
      <w:spacing w:after="120" w:afterLines="0"/>
      <w:ind w:left="420" w:leftChars="200"/>
    </w:pPr>
    <w:rPr>
      <w:rFonts w:eastAsia="仿宋_GB2312"/>
      <w:sz w:val="32"/>
      <w:szCs w:val="24"/>
    </w:rPr>
  </w:style>
  <w:style w:type="paragraph" w:styleId="8">
    <w:name w:val="Plain Text"/>
    <w:basedOn w:val="1"/>
    <w:qFormat/>
    <w:uiPriority w:val="0"/>
    <w:rPr>
      <w:rFonts w:ascii="宋体" w:hAnsi="Courier New" w:eastAsia="宋体" w:cs="Courier New"/>
      <w:sz w:val="21"/>
      <w:szCs w:val="21"/>
    </w:rPr>
  </w:style>
  <w:style w:type="paragraph" w:styleId="9">
    <w:name w:val="Body Text Indent 2"/>
    <w:basedOn w:val="1"/>
    <w:qFormat/>
    <w:uiPriority w:val="0"/>
    <w:pPr>
      <w:spacing w:line="580" w:lineRule="exact"/>
      <w:ind w:firstLine="570"/>
    </w:pPr>
    <w:rPr>
      <w:rFonts w:hint="eastAsia"/>
      <w:u w:val="single"/>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2">
    <w:name w:val="Subtitle"/>
    <w:basedOn w:val="1"/>
    <w:next w:val="13"/>
    <w:qFormat/>
    <w:uiPriority w:val="0"/>
    <w:pPr>
      <w:spacing w:before="240" w:after="60" w:line="312" w:lineRule="auto"/>
      <w:jc w:val="center"/>
      <w:outlineLvl w:val="1"/>
    </w:pPr>
    <w:rPr>
      <w:rFonts w:ascii="Cambria" w:hAnsi="Cambria" w:cs="Cambria"/>
      <w:b/>
      <w:bCs/>
      <w:color w:val="000000"/>
      <w:kern w:val="28"/>
      <w:sz w:val="32"/>
      <w:szCs w:val="32"/>
      <w:u w:val="none" w:color="000000"/>
    </w:rPr>
  </w:style>
  <w:style w:type="paragraph" w:customStyle="1" w:styleId="13">
    <w:name w:val="正文 A"/>
    <w:qFormat/>
    <w:uiPriority w:val="0"/>
    <w:pPr>
      <w:widowControl w:val="0"/>
      <w:jc w:val="both"/>
    </w:pPr>
    <w:rPr>
      <w:rFonts w:ascii="Arial Unicode MS" w:hAnsi="Times New Roman" w:eastAsia="Times New Roman" w:cs="Arial Unicode MS"/>
      <w:color w:val="000000"/>
      <w:kern w:val="2"/>
      <w:sz w:val="21"/>
      <w:szCs w:val="21"/>
      <w:u w:val="none" w:color="000000"/>
      <w:lang w:val="en-US" w:eastAsia="zh-CN" w:bidi="ar-SA"/>
    </w:rPr>
  </w:style>
  <w:style w:type="paragraph" w:styleId="14">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5">
    <w:name w:val="Normal (Web)"/>
    <w:basedOn w:val="1"/>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8">
    <w:name w:val=" Char Char Char Char Char Char Char"/>
    <w:basedOn w:val="1"/>
    <w:link w:val="17"/>
    <w:qFormat/>
    <w:uiPriority w:val="0"/>
    <w:rPr>
      <w:rFonts w:eastAsia="宋体"/>
      <w:sz w:val="24"/>
      <w:szCs w:val="21"/>
    </w:rPr>
  </w:style>
  <w:style w:type="character" w:styleId="19">
    <w:name w:val="Strong"/>
    <w:basedOn w:val="17"/>
    <w:qFormat/>
    <w:uiPriority w:val="0"/>
    <w:rPr>
      <w:b/>
      <w:bCs/>
    </w:rPr>
  </w:style>
  <w:style w:type="character" w:styleId="20">
    <w:name w:val="page number"/>
    <w:basedOn w:val="17"/>
    <w:uiPriority w:val="0"/>
  </w:style>
  <w:style w:type="character" w:styleId="21">
    <w:name w:val="Hyperlink"/>
    <w:basedOn w:val="17"/>
    <w:qFormat/>
    <w:uiPriority w:val="0"/>
    <w:rPr>
      <w:color w:val="0066CC"/>
      <w:u w:val="single"/>
    </w:rPr>
  </w:style>
  <w:style w:type="paragraph" w:customStyle="1" w:styleId="22">
    <w:name w:val="页脚 New"/>
    <w:basedOn w:val="23"/>
    <w:qFormat/>
    <w:uiPriority w:val="0"/>
    <w:pPr>
      <w:tabs>
        <w:tab w:val="center" w:pos="4153"/>
        <w:tab w:val="right" w:pos="8306"/>
      </w:tabs>
      <w:snapToGrid w:val="0"/>
      <w:jc w:val="left"/>
    </w:pPr>
    <w:rPr>
      <w:sz w:val="18"/>
      <w:szCs w:val="18"/>
    </w:rPr>
  </w:style>
  <w:style w:type="paragraph" w:customStyle="1" w:styleId="23">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4">
    <w:name w:val="正文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25">
    <w:name w:val="正文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26">
    <w:name w:val="正文文本缩进 New New"/>
    <w:basedOn w:val="27"/>
    <w:qFormat/>
    <w:uiPriority w:val="0"/>
    <w:pPr>
      <w:spacing w:after="120" w:afterLines="0"/>
      <w:ind w:left="420" w:leftChars="200"/>
    </w:pPr>
  </w:style>
  <w:style w:type="paragraph" w:customStyle="1" w:styleId="27">
    <w:name w:val="正文 New New New New New New New New New New"/>
    <w:uiPriority w:val="0"/>
    <w:pPr>
      <w:widowControl w:val="0"/>
      <w:jc w:val="both"/>
    </w:pPr>
    <w:rPr>
      <w:rFonts w:ascii="仿宋_GB2312" w:hAnsi="仿宋_GB2312" w:eastAsia="仿宋_GB2312" w:cs="Times New Roman"/>
      <w:kern w:val="2"/>
      <w:sz w:val="32"/>
      <w:lang w:val="en-US" w:eastAsia="zh-CN"/>
    </w:rPr>
  </w:style>
  <w:style w:type="paragraph" w:customStyle="1" w:styleId="28">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0">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31">
    <w:name w:val="正文文本 New"/>
    <w:basedOn w:val="32"/>
    <w:qFormat/>
    <w:uiPriority w:val="0"/>
    <w:rPr>
      <w:sz w:val="44"/>
    </w:rPr>
  </w:style>
  <w:style w:type="paragraph" w:customStyle="1" w:styleId="32">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正文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4">
    <w:name w:val="正文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5">
    <w:name w:val="正文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6">
    <w:name w:val="正文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7">
    <w:name w:val="正文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38">
    <w:name w:val="正文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9">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0">
    <w:name w:val="正文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41">
    <w:name w:val="p15"/>
    <w:basedOn w:val="1"/>
    <w:qFormat/>
    <w:uiPriority w:val="0"/>
    <w:pPr>
      <w:widowControl/>
      <w:ind w:left="1215" w:hanging="1215"/>
      <w:jc w:val="center"/>
    </w:pPr>
    <w:rPr>
      <w:rFonts w:ascii="仿宋_GB2312" w:hAnsi="宋体" w:cs="宋体"/>
      <w:b/>
      <w:bCs/>
      <w:kern w:val="0"/>
    </w:rPr>
  </w:style>
  <w:style w:type="paragraph" w:customStyle="1" w:styleId="42">
    <w:name w:val="正文 New New New New New New New New New"/>
    <w:qFormat/>
    <w:uiPriority w:val="0"/>
    <w:pPr>
      <w:widowControl w:val="0"/>
      <w:jc w:val="both"/>
    </w:pPr>
    <w:rPr>
      <w:rFonts w:ascii="Calibri" w:hAnsi="Calibri" w:eastAsia="仿宋_GB2312" w:cs="Times New Roman"/>
      <w:kern w:val="2"/>
      <w:sz w:val="32"/>
      <w:szCs w:val="32"/>
      <w:lang w:val="en-US" w:eastAsia="zh-CN" w:bidi="ar-SA"/>
    </w:rPr>
  </w:style>
  <w:style w:type="paragraph" w:customStyle="1" w:styleId="43">
    <w:name w:val="正文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44">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6">
    <w:name w:val=" Char Char Char Char Char Char1 Char"/>
    <w:basedOn w:val="27"/>
    <w:qFormat/>
    <w:uiPriority w:val="0"/>
    <w:pPr>
      <w:widowControl/>
      <w:spacing w:after="160" w:afterLines="0" w:line="240" w:lineRule="exact"/>
      <w:jc w:val="left"/>
    </w:pPr>
    <w:rPr>
      <w:rFonts w:eastAsia="宋体"/>
      <w:sz w:val="24"/>
      <w:szCs w:val="21"/>
    </w:rPr>
  </w:style>
  <w:style w:type="paragraph" w:customStyle="1" w:styleId="47">
    <w:name w:val="正文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8">
    <w:name w:val=" Char"/>
    <w:basedOn w:val="1"/>
    <w:qFormat/>
    <w:uiPriority w:val="0"/>
    <w:pPr>
      <w:widowControl/>
      <w:spacing w:after="160" w:line="240" w:lineRule="exact"/>
      <w:jc w:val="left"/>
    </w:pPr>
    <w:rPr>
      <w:rFonts w:ascii="Times New Roman" w:eastAsia="宋体"/>
      <w:sz w:val="21"/>
      <w:szCs w:val="20"/>
    </w:rPr>
  </w:style>
  <w:style w:type="paragraph" w:customStyle="1" w:styleId="49">
    <w:name w:val="正文 B"/>
    <w:qFormat/>
    <w:uiPriority w:val="0"/>
    <w:pPr>
      <w:widowControl w:val="0"/>
      <w:jc w:val="both"/>
    </w:pPr>
    <w:rPr>
      <w:rFonts w:ascii="Calibri" w:hAnsi="Calibri" w:eastAsia="宋体" w:cs="Calibri"/>
      <w:color w:val="000000"/>
      <w:kern w:val="2"/>
      <w:sz w:val="21"/>
      <w:szCs w:val="21"/>
      <w:u w:val="none" w:color="000000"/>
      <w:lang w:val="en-US" w:eastAsia="zh-CN" w:bidi="ar-SA"/>
    </w:rPr>
  </w:style>
  <w:style w:type="paragraph" w:customStyle="1" w:styleId="5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2"/>
      <w:lang w:val="en-US" w:eastAsia="zh-CN" w:bidi="ar-SA"/>
    </w:rPr>
  </w:style>
  <w:style w:type="paragraph" w:customStyle="1" w:styleId="51">
    <w:name w:val="列出段落"/>
    <w:basedOn w:val="1"/>
    <w:qFormat/>
    <w:uiPriority w:val="0"/>
    <w:pPr>
      <w:ind w:firstLine="420" w:firstLineChars="200"/>
    </w:pPr>
    <w:rPr>
      <w:rFonts w:ascii="Calibri" w:hAnsi="Calibri" w:eastAsia="宋体"/>
      <w:sz w:val="21"/>
    </w:rPr>
  </w:style>
  <w:style w:type="paragraph" w:customStyle="1" w:styleId="52">
    <w:name w:val="普通(网站) New New"/>
    <w:basedOn w:val="37"/>
    <w:qFormat/>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53">
    <w:name w:val="Char1"/>
    <w:uiPriority w:val="0"/>
    <w:pPr>
      <w:spacing w:after="160" w:afterLines="0" w:line="240" w:lineRule="exact"/>
    </w:pPr>
    <w:rPr>
      <w:rFonts w:ascii="Times New Roman" w:hAnsi="Times New Roman" w:eastAsia="宋体" w:cs="Times New Roman"/>
      <w:sz w:val="24"/>
      <w:szCs w:val="21"/>
    </w:rPr>
  </w:style>
  <w:style w:type="paragraph" w:customStyle="1" w:styleId="54">
    <w:name w:val="普通(网站) New"/>
    <w:basedOn w:val="23"/>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55">
    <w:name w:val="正文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56">
    <w:name w:val="p0"/>
    <w:basedOn w:val="1"/>
    <w:qFormat/>
    <w:uiPriority w:val="0"/>
    <w:pPr>
      <w:widowControl/>
    </w:pPr>
    <w:rPr>
      <w:rFonts w:hint="eastAsia" w:ascii="宋体" w:hAnsi="宋体"/>
      <w:sz w:val="32"/>
    </w:rPr>
  </w:style>
  <w:style w:type="paragraph" w:customStyle="1" w:styleId="57">
    <w:name w:val="正文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58">
    <w:name w:val="Char Char Char Char Char Char Char Char Char Char Char Char Char Char Char Char Char Char Char"/>
    <w:basedOn w:val="1"/>
    <w:qFormat/>
    <w:uiPriority w:val="0"/>
    <w:pPr>
      <w:widowControl/>
      <w:spacing w:after="160" w:afterLines="0" w:line="240" w:lineRule="exact"/>
      <w:jc w:val="left"/>
    </w:pPr>
  </w:style>
  <w:style w:type="paragraph" w:customStyle="1" w:styleId="59">
    <w:name w:val="默认 A"/>
    <w:uiPriority w:val="0"/>
    <w:rPr>
      <w:rFonts w:ascii="Helvetica" w:hAnsi="Arial Unicode MS" w:eastAsia="宋体" w:cs="Helvetica"/>
      <w:color w:val="000000"/>
      <w:sz w:val="22"/>
      <w:szCs w:val="22"/>
      <w:u w:val="none" w:color="000000"/>
      <w:lang w:val="zh-TW" w:eastAsia="zh-TW" w:bidi="ar-SA"/>
    </w:rPr>
  </w:style>
  <w:style w:type="paragraph" w:customStyle="1" w:styleId="60">
    <w:name w:val=" Char Char Char Char Char Char"/>
    <w:basedOn w:val="1"/>
    <w:qFormat/>
    <w:uiPriority w:val="0"/>
    <w:rPr>
      <w:rFonts w:eastAsia="宋体"/>
      <w:sz w:val="24"/>
      <w:szCs w:val="21"/>
    </w:rPr>
  </w:style>
  <w:style w:type="paragraph" w:customStyle="1" w:styleId="61">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2">
    <w:name w:val="正文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3">
    <w:name w:val="普通(网站) New New New"/>
    <w:basedOn w:val="24"/>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64">
    <w:name w:val="正文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65">
    <w:name w:val=" Char1"/>
    <w:basedOn w:val="1"/>
    <w:qFormat/>
    <w:uiPriority w:val="0"/>
    <w:pPr>
      <w:widowControl/>
      <w:spacing w:after="160" w:afterLines="0" w:line="240" w:lineRule="exact"/>
      <w:jc w:val="left"/>
    </w:pPr>
  </w:style>
  <w:style w:type="paragraph" w:customStyle="1" w:styleId="6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67">
    <w:name w:val=" Char Char Char Char"/>
    <w:basedOn w:val="1"/>
    <w:qFormat/>
    <w:uiPriority w:val="0"/>
    <w:pPr>
      <w:suppressAutoHyphens w:val="0"/>
      <w:ind w:firstLine="0"/>
    </w:pPr>
    <w:rPr>
      <w:rFonts w:eastAsia="宋体"/>
      <w:sz w:val="24"/>
      <w:szCs w:val="21"/>
    </w:rPr>
  </w:style>
  <w:style w:type="paragraph" w:customStyle="1" w:styleId="68">
    <w:name w:val="正文文本 New New New New New New New"/>
    <w:basedOn w:val="27"/>
    <w:qFormat/>
    <w:uiPriority w:val="0"/>
    <w:rPr>
      <w:rFonts w:eastAsia="宋体"/>
      <w:kern w:val="2"/>
      <w:sz w:val="44"/>
      <w:szCs w:val="24"/>
      <w:lang w:val="en-US" w:eastAsia="zh-CN" w:bidi="ar-SA"/>
    </w:rPr>
  </w:style>
  <w:style w:type="paragraph" w:customStyle="1" w:styleId="69">
    <w:name w:val="默认段落字体 Para Char Char Char Char Char Char Char Char Char1 Char Char Char Char"/>
    <w:basedOn w:val="1"/>
    <w:qFormat/>
    <w:uiPriority w:val="0"/>
    <w:rPr>
      <w:rFonts w:eastAsia="宋体"/>
      <w:sz w:val="24"/>
      <w:szCs w:val="21"/>
    </w:rPr>
  </w:style>
  <w:style w:type="paragraph" w:customStyle="1" w:styleId="70">
    <w:name w:val="Char"/>
    <w:basedOn w:val="1"/>
    <w:qFormat/>
    <w:uiPriority w:val="0"/>
    <w:pPr>
      <w:widowControl/>
      <w:spacing w:after="160" w:line="240" w:lineRule="exact"/>
      <w:jc w:val="left"/>
    </w:pPr>
  </w:style>
  <w:style w:type="paragraph" w:customStyle="1" w:styleId="71">
    <w:name w:val="正文文本 New New"/>
    <w:basedOn w:val="23"/>
    <w:qFormat/>
    <w:uiPriority w:val="0"/>
    <w:rPr>
      <w:rFonts w:eastAsia="宋体"/>
      <w:sz w:val="44"/>
      <w:szCs w:val="24"/>
    </w:rPr>
  </w:style>
  <w:style w:type="paragraph" w:customStyle="1" w:styleId="72">
    <w:name w:val=" Char Char Char Char Char Char Char Char Char Char Char1 Char"/>
    <w:basedOn w:val="1"/>
    <w:qFormat/>
    <w:uiPriority w:val="0"/>
  </w:style>
  <w:style w:type="paragraph" w:customStyle="1" w:styleId="73">
    <w:name w:val="正文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4">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5">
    <w:name w:val="样式2"/>
    <w:basedOn w:val="3"/>
    <w:qFormat/>
    <w:uiPriority w:val="0"/>
    <w:pPr>
      <w:adjustRightInd w:val="0"/>
      <w:spacing w:before="0" w:beforeLines="0" w:after="0" w:afterLines="0" w:line="590" w:lineRule="exact"/>
    </w:pPr>
    <w:rPr>
      <w:rFonts w:ascii="Times New Roman" w:hAnsi="Times New Roman" w:eastAsia="方正小标宋简体"/>
    </w:rPr>
  </w:style>
  <w:style w:type="paragraph" w:customStyle="1" w:styleId="76">
    <w:name w:val="正文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77">
    <w:name w:val="Char Char Char Char Char"/>
    <w:basedOn w:val="1"/>
    <w:qFormat/>
    <w:uiPriority w:val="0"/>
    <w:pPr>
      <w:tabs>
        <w:tab w:val="left" w:pos="420"/>
      </w:tabs>
      <w:spacing w:beforeLines="50" w:afterLines="50" w:line="312" w:lineRule="auto"/>
      <w:ind w:left="840" w:hanging="420"/>
    </w:pPr>
  </w:style>
  <w:style w:type="paragraph" w:customStyle="1" w:styleId="78">
    <w:name w:val="0"/>
    <w:basedOn w:val="1"/>
    <w:qFormat/>
    <w:uiPriority w:val="0"/>
    <w:pPr>
      <w:widowControl/>
      <w:snapToGrid w:val="0"/>
      <w:spacing w:line="240" w:lineRule="atLeast"/>
    </w:pPr>
    <w:rPr>
      <w:spacing w:val="-6"/>
      <w:kern w:val="0"/>
      <w:sz w:val="32"/>
      <w:szCs w:val="32"/>
    </w:rPr>
  </w:style>
  <w:style w:type="paragraph" w:customStyle="1" w:styleId="79">
    <w:name w:val="文本块 New"/>
    <w:basedOn w:val="27"/>
    <w:qFormat/>
    <w:uiPriority w:val="0"/>
    <w:pPr>
      <w:ind w:left="149" w:leftChars="71" w:right="-221" w:firstLine="640" w:firstLineChars="200"/>
    </w:pPr>
    <w:rPr>
      <w:rFonts w:ascii="仿宋_GB2312" w:hAnsi="宋体"/>
      <w:szCs w:val="20"/>
    </w:rPr>
  </w:style>
  <w:style w:type="paragraph" w:customStyle="1" w:styleId="80">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1">
    <w:name w:val="正文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82">
    <w:name w:val="普通(网站) New New New New"/>
    <w:basedOn w:val="27"/>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83">
    <w:name w:val="正文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84">
    <w:name w:val="正文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5">
    <w:name w:val="页脚 New New New New New New New"/>
    <w:basedOn w:val="42"/>
    <w:qFormat/>
    <w:uiPriority w:val="0"/>
    <w:pPr>
      <w:tabs>
        <w:tab w:val="center" w:pos="4153"/>
        <w:tab w:val="right" w:pos="8306"/>
      </w:tabs>
      <w:snapToGrid w:val="0"/>
      <w:jc w:val="left"/>
    </w:pPr>
    <w:rPr>
      <w:sz w:val="18"/>
      <w:szCs w:val="18"/>
    </w:rPr>
  </w:style>
  <w:style w:type="character" w:customStyle="1" w:styleId="86">
    <w:name w:val="apple-style-span"/>
    <w:qFormat/>
    <w:uiPriority w:val="0"/>
    <w:rPr>
      <w:rFonts w:hint="default"/>
      <w:sz w:val="24"/>
    </w:rPr>
  </w:style>
  <w:style w:type="character" w:customStyle="1" w:styleId="87">
    <w:name w:val="l-1801"/>
    <w:basedOn w:val="17"/>
    <w:qFormat/>
    <w:uiPriority w:val="0"/>
  </w:style>
  <w:style w:type="character" w:customStyle="1" w:styleId="88">
    <w:name w:val="text3"/>
    <w:basedOn w:val="17"/>
    <w:qFormat/>
    <w:uiPriority w:val="0"/>
  </w:style>
  <w:style w:type="character" w:customStyle="1" w:styleId="89">
    <w:name w:val="15"/>
    <w:basedOn w:val="17"/>
    <w:qFormat/>
    <w:uiPriority w:val="0"/>
    <w:rPr>
      <w:rFonts w:hint="default" w:ascii="Times New Roman" w:hAnsi="Times New Roman" w:cs="Times New Roman"/>
      <w:b/>
      <w:bCs/>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Zhao&amp;</cp:lastModifiedBy>
  <cp:lastPrinted>2018-12-20T07:15:00Z</cp:lastPrinted>
  <dcterms:modified xsi:type="dcterms:W3CDTF">2020-08-15T08:11:27Z</dcterms:modified>
  <dc:title>  粤常备〔2013〕4号                     签发人：陈逸葵</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