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广州市水利工程设施保护规定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（1997年9月26日广州市第十届人民代表大会常务委员会第三十六次会议通过  1997年12月1日广东省第八届人民代表大会常务委员会第三十二次会议批准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为加强水利工程设施的管理，保护水利工程设施的安全，发挥水利工程设施的功能和效益，保障国民经济健康发展，根据《中华人民共和国水法》及有关法律、法规，结合本市实际，制定本规定。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本规定适用于本市行政区域内下列水利工程设施的保护：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（一）防洪、排涝工程设施；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（二）水利蓄水、供水工程设施；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（三）灌溉工程设施；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（四）水土保护工程设施；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（五）水电工程设施；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（六）水文报汛工程设施；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（七）水利工程配套的附属设施、设备。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广州市水行政主管部门是本市水利工程设施的主管部门，负责组织本规定的实施。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区水行政主管部门依照分级管理权限，分别负责所管辖的水利工程设施的保护。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镇人民政府依照分级管理权限，负责保护本级的水利工程设施，并协助保护市、区管辖的水利工程设施。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水利工程设施保护范围的划定，应根据土地利用总体规划、城市总体规划和土地权属状况、自然现状以及安全操作规程的要求，由各级水行政主管部门会同有关行政主管部门提出，依法报区以上人民政府批准，并设立保护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新建、改建、扩建水利工程设施，必须同时划定保护范围。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在水利工程设施保护范围内，影响水利工程设施正常动行的障碍物，按谁设障、谁清除的原则，由水行政主管部门责令限期清除。逾期不清除的，由水行政主管部门组织清除，所需费用由设障单位或个人承担。因设障对水利工程设施造成损失的，设障单位或个人应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在水利工程设施保护范围内禁止下列行为：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（一）擅自修建影响水利工程设施正常运行的建筑物和其他设施；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（二）倾倒余泥、渣土、垃圾等废弃物；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（三）在堤坝、渠道上挖沙、取土、采石、垦植、砍伐、破坏防护林木和植被；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（四）损坏工程设施管理单位的通讯、报汛线路；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（五）损毁、破坏水利工程设施及其附属设施、设备；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　</w:t>
      </w:r>
      <w:r>
        <w:rPr>
          <w:rFonts w:hint="eastAsia" w:ascii="宋体" w:hAnsi="宋体" w:eastAsia="仿宋_GB2312"/>
          <w:sz w:val="32"/>
          <w:szCs w:val="32"/>
        </w:rPr>
        <w:t>在水利工程设施保护范围内从事下列活动的，须经水利工程设施管理单位同意，并按管理权限报水行政主管部门批准：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（一）在水利工程库区或引水、提水工程范围内取水、截水；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（二）向水体设置或增大排污口；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（三）改变河涌、河道流向；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（四）筑坝拦水；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（五）进行其他建设和经营活动。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依照法律、法规规定须经其他有关行政主管部门批准的，从其规定。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在本市行政区域内从事各类工程建设，影响水利工程设施正常运行的，必须制定配套的保护方案，按分级管理权限，报水行政主管部门审核。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经审核同意的保护方案，应作为工程建设的必备项目，按基建程序报批，并应与工程建设同时设计、同时施工、同时竣工，经水行政主管部门验收合格方可投入使用。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各类水利工程设施的设计和施工，必须由具有相应资质的单位承担，其资质按管理权限由市以上水行政主管部门会同有关部门认定。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已获省以上行政主管部门认定资质的单位，在本市行政区域内从事水利工程设施设计和施工的，应到市水行政主管部门办理登记手续。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市水行政主管部门应按国家标准对水利工程设施进行安全等级分类，确定水利工程设施安全使用年限。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水利工程设施管理单位对其管辖的水利工程设施运行情况，应建立检查制度。需要维修的，应制定维修方案，按管理权限报水行政主管部门批准后实施；需要报废的，经当地水行政主管部门审核同意后，报市水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各级水行政主管部门应按照分级管理范围，对所管辖的水利工程设施，每年进行一次安全检查，并作出安全技术鉴定。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水行政主管部门对管理范围内有安全隐患的水利工程设施，应及时组织维修。维修费用根据工程性质由政府或水利工程设施所有者承担。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各级水行政主管部门应明晰水利资产产权，加强监督管理。水利工程设施管理单位的固定资产和物资需要处理的，按管理权限报水行政主管部门批准；属国有资产的，还应报市国有资产管理部门和市水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　</w:t>
      </w:r>
      <w:r>
        <w:rPr>
          <w:rFonts w:hint="eastAsia" w:ascii="宋体" w:hAnsi="宋体" w:eastAsia="仿宋_GB2312"/>
          <w:sz w:val="32"/>
          <w:szCs w:val="32"/>
        </w:rPr>
        <w:t>水利工程设施因开发建设需要占用的，实行有偿占用和等效替代相结合的原则。占用者应按分级管理权限报水行政主管部门批准，并负责兴建与其效益相当的替代工程；不具备条件兴建替代工程的，应按新建等量等效替代工程设施的总投资额交纳开发补偿费用。具体补偿办法，由市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违反本规定的，由区以上行政主管部门依照《中华人民共和国水法》及有关法律、法规给予处理；违反本规定，涉及其他法律、法规的，由有关行政主管部门依法处理；违反社会治安管理规定的，由公安部门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水行政主管部门工作人员玩忽职守、滥用职权、徇私舞弊的，由其所在单位或者上级主管部门给予行政处分；构成犯罪的，依法追究刑事责任。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hAnsi="华文中宋"/>
          <w:bCs/>
          <w:szCs w:val="32"/>
        </w:rPr>
      </w:pPr>
      <w:r>
        <w:rPr>
          <w:rFonts w:hint="eastAsia" w:ascii="宋体" w:hAnsi="宋体" w:eastAsia="黑体"/>
          <w:sz w:val="32"/>
          <w:szCs w:val="32"/>
        </w:rPr>
        <w:t>第十六条</w:t>
      </w:r>
      <w:r>
        <w:rPr>
          <w:rFonts w:hint="eastAsia" w:ascii="宋体" w:hAnsi="宋体" w:eastAsia="仿宋_GB2312"/>
          <w:sz w:val="32"/>
          <w:szCs w:val="32"/>
        </w:rPr>
        <w:t>　本规定</w:t>
      </w:r>
      <w:r>
        <w:rPr>
          <w:rFonts w:hint="eastAsia" w:ascii="仿宋_GB2312" w:hAnsi="仿宋_GB2312" w:eastAsia="仿宋_GB2312" w:cs="仿宋_GB2312"/>
          <w:sz w:val="32"/>
          <w:szCs w:val="32"/>
        </w:rPr>
        <w:t>自1998年３月１日</w:t>
      </w:r>
      <w:r>
        <w:rPr>
          <w:rFonts w:hint="eastAsia" w:ascii="宋体" w:hAnsi="宋体" w:eastAsia="仿宋_GB2312"/>
          <w:sz w:val="32"/>
          <w:szCs w:val="32"/>
        </w:rPr>
        <w:t>起施行。</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9816BE9"/>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6013729"/>
    <w:rsid w:val="4B7F2B0B"/>
    <w:rsid w:val="4E4F376E"/>
    <w:rsid w:val="50067A1E"/>
    <w:rsid w:val="51EF053D"/>
    <w:rsid w:val="53BA17FC"/>
    <w:rsid w:val="585415C6"/>
    <w:rsid w:val="59124C97"/>
    <w:rsid w:val="5AF1484F"/>
    <w:rsid w:val="5BBC5E8C"/>
    <w:rsid w:val="5EB6144E"/>
    <w:rsid w:val="60FA7A99"/>
    <w:rsid w:val="62F5388E"/>
    <w:rsid w:val="6377386C"/>
    <w:rsid w:val="69D84234"/>
    <w:rsid w:val="69DF4F18"/>
    <w:rsid w:val="6B6E4C81"/>
    <w:rsid w:val="6E1B076A"/>
    <w:rsid w:val="70043718"/>
    <w:rsid w:val="70E45839"/>
    <w:rsid w:val="72E060D1"/>
    <w:rsid w:val="74717A14"/>
    <w:rsid w:val="76A16113"/>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2017-01-18T15:09:03Z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