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宋体"/>
          <w:sz w:val="44"/>
          <w:szCs w:val="44"/>
        </w:rPr>
      </w:pPr>
    </w:p>
    <w:p>
      <w:pPr>
        <w:spacing w:line="300" w:lineRule="auto"/>
        <w:jc w:val="center"/>
        <w:rPr>
          <w:rFonts w:eastAsia="宋体"/>
          <w:sz w:val="44"/>
          <w:szCs w:val="44"/>
        </w:rPr>
      </w:pPr>
    </w:p>
    <w:p>
      <w:pPr>
        <w:spacing w:line="300" w:lineRule="auto"/>
        <w:jc w:val="center"/>
        <w:rPr>
          <w:rFonts w:ascii="宋体" w:hAnsi="宋体" w:eastAsia="宋体"/>
          <w:sz w:val="44"/>
          <w:szCs w:val="44"/>
        </w:rPr>
      </w:pPr>
      <w:r>
        <w:rPr>
          <w:rFonts w:hint="eastAsia" w:ascii="宋体" w:hAnsi="宋体" w:eastAsia="宋体"/>
          <w:sz w:val="44"/>
          <w:szCs w:val="44"/>
        </w:rPr>
        <w:t>汕头经济特区城镇排水与污水处理条例</w:t>
      </w:r>
    </w:p>
    <w:p>
      <w:pPr>
        <w:widowControl/>
        <w:suppressAutoHyphens/>
        <w:adjustRightInd w:val="0"/>
        <w:snapToGrid w:val="0"/>
        <w:spacing w:line="300" w:lineRule="auto"/>
        <w:rPr>
          <w:rFonts w:eastAsia="楷体_GB2312"/>
          <w:color w:val="000000"/>
        </w:rPr>
      </w:pPr>
    </w:p>
    <w:p>
      <w:pPr>
        <w:keepNext w:val="0"/>
        <w:keepLines w:val="0"/>
        <w:pageBreakBefore w:val="0"/>
        <w:widowControl/>
        <w:suppressAutoHyphens/>
        <w:kinsoku/>
        <w:wordWrap/>
        <w:overflowPunct/>
        <w:topLinePunct w:val="0"/>
        <w:autoSpaceDE/>
        <w:autoSpaceDN/>
        <w:bidi w:val="0"/>
        <w:adjustRightInd w:val="0"/>
        <w:snapToGrid w:val="0"/>
        <w:spacing w:line="300" w:lineRule="auto"/>
        <w:ind w:left="640" w:leftChars="200" w:right="640" w:rightChars="200"/>
        <w:jc w:val="both"/>
        <w:textAlignment w:val="auto"/>
        <w:rPr>
          <w:rFonts w:eastAsia="楷体_GB2312"/>
          <w:color w:val="000000"/>
        </w:rPr>
      </w:pPr>
      <w:r>
        <w:rPr>
          <w:rFonts w:hint="eastAsia" w:eastAsia="楷体_GB2312"/>
          <w:color w:val="000000"/>
        </w:rPr>
        <w:t>（2023年4月24日汕头市第十五届人民代表大会常务委员会第十四次会议通过）</w:t>
      </w:r>
    </w:p>
    <w:p>
      <w:pPr>
        <w:pStyle w:val="2"/>
        <w:spacing w:line="300" w:lineRule="auto"/>
        <w:rPr>
          <w:rFonts w:ascii="Times New Roman" w:hAnsi="Times New Roman" w:eastAsia="楷体_GB2312" w:cs="Times New Roman"/>
          <w:color w:val="000000"/>
          <w:sz w:val="32"/>
          <w:szCs w:val="32"/>
        </w:rPr>
      </w:pPr>
    </w:p>
    <w:p>
      <w:pPr>
        <w:pStyle w:val="2"/>
        <w:suppressAutoHyphens/>
        <w:adjustRightInd/>
        <w:spacing w:line="300" w:lineRule="auto"/>
        <w:ind w:firstLine="0"/>
        <w:textAlignment w:val="auto"/>
        <w:rPr>
          <w:rFonts w:ascii="Times New Roman" w:hAnsi="Times New Roman" w:eastAsia="宋体" w:cs="Times New Roman"/>
          <w:sz w:val="21"/>
        </w:rPr>
      </w:pPr>
      <w:bookmarkStart w:id="0" w:name="_GoBack"/>
      <w:bookmarkEnd w:id="0"/>
    </w:p>
    <w:p>
      <w:pPr>
        <w:suppressAutoHyphens/>
        <w:spacing w:line="300" w:lineRule="auto"/>
        <w:jc w:val="center"/>
        <w:rPr>
          <w:rFonts w:eastAsia="楷体_GB2312"/>
        </w:rPr>
      </w:pPr>
      <w:r>
        <w:rPr>
          <w:rFonts w:hint="eastAsia" w:eastAsia="楷体_GB2312"/>
        </w:rPr>
        <w:t>目 录</w:t>
      </w:r>
    </w:p>
    <w:p>
      <w:pPr>
        <w:suppressAutoHyphens/>
        <w:spacing w:line="300" w:lineRule="auto"/>
        <w:ind w:firstLine="640" w:firstLineChars="200"/>
        <w:rPr>
          <w:rFonts w:eastAsia="楷体_GB2312"/>
        </w:rPr>
      </w:pPr>
      <w:r>
        <w:rPr>
          <w:rFonts w:hint="eastAsia" w:eastAsia="楷体_GB2312"/>
        </w:rPr>
        <w:t>第一章 总则</w:t>
      </w:r>
    </w:p>
    <w:p>
      <w:pPr>
        <w:suppressAutoHyphens/>
        <w:spacing w:line="300" w:lineRule="auto"/>
        <w:ind w:firstLine="640" w:firstLineChars="200"/>
        <w:rPr>
          <w:rFonts w:eastAsia="楷体_GB2312"/>
        </w:rPr>
      </w:pPr>
      <w:r>
        <w:rPr>
          <w:rFonts w:hint="eastAsia" w:eastAsia="楷体_GB2312"/>
        </w:rPr>
        <w:t>第二章 规划与建设</w:t>
      </w:r>
    </w:p>
    <w:p>
      <w:pPr>
        <w:suppressAutoHyphens/>
        <w:spacing w:line="300" w:lineRule="auto"/>
        <w:ind w:firstLine="640" w:firstLineChars="200"/>
        <w:rPr>
          <w:rFonts w:eastAsia="楷体_GB2312"/>
        </w:rPr>
      </w:pPr>
      <w:r>
        <w:rPr>
          <w:rFonts w:hint="eastAsia" w:eastAsia="楷体_GB2312"/>
        </w:rPr>
        <w:t>第三章 排水与污水处理</w:t>
      </w:r>
    </w:p>
    <w:p>
      <w:pPr>
        <w:suppressAutoHyphens/>
        <w:spacing w:line="300" w:lineRule="auto"/>
        <w:ind w:firstLine="640" w:firstLineChars="200"/>
        <w:rPr>
          <w:rFonts w:eastAsia="楷体_GB2312"/>
        </w:rPr>
      </w:pPr>
      <w:r>
        <w:rPr>
          <w:rFonts w:hint="eastAsia" w:eastAsia="楷体_GB2312"/>
        </w:rPr>
        <w:t>第四章 设施维护与保护</w:t>
      </w:r>
    </w:p>
    <w:p>
      <w:pPr>
        <w:suppressAutoHyphens/>
        <w:spacing w:line="300" w:lineRule="auto"/>
        <w:ind w:firstLine="640" w:firstLineChars="200"/>
        <w:rPr>
          <w:rFonts w:eastAsia="楷体_GB2312"/>
        </w:rPr>
      </w:pPr>
      <w:r>
        <w:rPr>
          <w:rFonts w:hint="eastAsia" w:eastAsia="楷体_GB2312"/>
        </w:rPr>
        <w:t>第五章 法律责任</w:t>
      </w:r>
    </w:p>
    <w:p>
      <w:pPr>
        <w:suppressAutoHyphens/>
        <w:spacing w:line="300" w:lineRule="auto"/>
        <w:ind w:firstLine="640" w:firstLineChars="200"/>
        <w:rPr>
          <w:rFonts w:eastAsia="楷体_GB2312"/>
        </w:rPr>
      </w:pPr>
      <w:r>
        <w:rPr>
          <w:rFonts w:hint="eastAsia" w:eastAsia="楷体_GB2312"/>
        </w:rPr>
        <w:t>第六章 附则</w:t>
      </w:r>
    </w:p>
    <w:p>
      <w:pPr>
        <w:spacing w:line="300" w:lineRule="auto"/>
        <w:rPr>
          <w:rFonts w:eastAsia="宋体"/>
          <w:sz w:val="21"/>
          <w:szCs w:val="24"/>
        </w:rPr>
      </w:pPr>
    </w:p>
    <w:p>
      <w:pPr>
        <w:suppressAutoHyphens/>
        <w:spacing w:line="300" w:lineRule="auto"/>
        <w:jc w:val="center"/>
        <w:rPr>
          <w:rFonts w:eastAsia="黑体"/>
        </w:rPr>
      </w:pPr>
      <w:r>
        <w:rPr>
          <w:rFonts w:hint="eastAsia" w:eastAsia="黑体"/>
        </w:rPr>
        <w:t>第一章 总则</w:t>
      </w:r>
    </w:p>
    <w:p>
      <w:pPr>
        <w:spacing w:line="300" w:lineRule="auto"/>
        <w:rPr>
          <w:rFonts w:eastAsia="宋体"/>
          <w:sz w:val="21"/>
          <w:szCs w:val="24"/>
        </w:rPr>
      </w:pPr>
    </w:p>
    <w:p>
      <w:pPr>
        <w:suppressAutoHyphens/>
        <w:spacing w:line="300" w:lineRule="auto"/>
        <w:ind w:firstLine="640" w:firstLineChars="200"/>
      </w:pPr>
      <w:r>
        <w:rPr>
          <w:rFonts w:hint="eastAsia" w:eastAsia="黑体"/>
        </w:rPr>
        <w:t>第一条</w:t>
      </w:r>
      <w:r>
        <w:rPr>
          <w:rFonts w:hint="eastAsia"/>
        </w:rPr>
        <w:t xml:space="preserve">  为了规范城镇排水与污水处理工作的管理，保障排水与污水处理设施安全运行，防治水污染和内涝灾害，保障公民生命财产安全和公共安全，保护生态环境，根据有关法律、行政法规的基本原则，结合汕头经济特区（以下简称特区）实际，制定本条例。</w:t>
      </w:r>
    </w:p>
    <w:p>
      <w:pPr>
        <w:suppressAutoHyphens/>
        <w:spacing w:line="300" w:lineRule="auto"/>
        <w:ind w:firstLine="640" w:firstLineChars="200"/>
      </w:pPr>
      <w:r>
        <w:rPr>
          <w:rFonts w:hint="eastAsia" w:eastAsia="黑体"/>
        </w:rPr>
        <w:t>第二条</w:t>
      </w:r>
      <w:r>
        <w:rPr>
          <w:rFonts w:hint="eastAsia"/>
        </w:rPr>
        <w:t xml:space="preserve">  特区范围内城镇排水与污水处理的规划，排水与污水处理设施的建设、运行、维护与保护，向排水设施排水和污水处理，内涝防治，以及相关监督管理等活动，适用本条例。</w:t>
      </w:r>
    </w:p>
    <w:p>
      <w:pPr>
        <w:suppressAutoHyphens/>
        <w:spacing w:line="300" w:lineRule="auto"/>
        <w:ind w:firstLine="640" w:firstLineChars="200"/>
      </w:pPr>
      <w:r>
        <w:rPr>
          <w:rFonts w:hint="eastAsia" w:eastAsia="黑体"/>
        </w:rPr>
        <w:t>第三条</w:t>
      </w:r>
      <w:r>
        <w:rPr>
          <w:rFonts w:hint="eastAsia"/>
        </w:rPr>
        <w:t xml:space="preserve">  市和区（县）人民政府应当加强对城镇排水与污水处理工作的领导，将城镇排水与污水处理工作纳入国民经济和社会发展规划，研究解决城镇排水与污水处理工作中的重大事项，保障城镇排水与污水处理工作的资金投入。</w:t>
      </w:r>
    </w:p>
    <w:p>
      <w:pPr>
        <w:suppressAutoHyphens/>
        <w:spacing w:line="300" w:lineRule="auto"/>
        <w:ind w:firstLine="640" w:firstLineChars="200"/>
      </w:pPr>
      <w:r>
        <w:rPr>
          <w:rFonts w:hint="eastAsia"/>
        </w:rPr>
        <w:t>市城镇排水与污水处理主管部门（以下简称市城镇排水主管部门）负责全市城镇排水与污水处理的监督管理工作，组织实施本条例；区（县）城镇排水与污水处理主管部门（以下简称区（县）城镇排水主管部门）具体负责本辖区内城镇排水与污水处理的监督管理工作。</w:t>
      </w:r>
    </w:p>
    <w:p>
      <w:pPr>
        <w:suppressAutoHyphens/>
        <w:spacing w:line="300" w:lineRule="auto"/>
        <w:ind w:firstLine="640" w:firstLineChars="200"/>
      </w:pPr>
      <w:r>
        <w:rPr>
          <w:rFonts w:hint="eastAsia"/>
        </w:rPr>
        <w:t>发展改革、自然资源、住房城乡建设、水务、应急管理、生态环境、工业和信息化、财政、农业农村、市场监管、气象、交通运输、公安等行政管理部门按照各自职责，做好城镇排水与污水处理相关工作。</w:t>
      </w:r>
    </w:p>
    <w:p>
      <w:pPr>
        <w:suppressAutoHyphens/>
        <w:spacing w:line="300" w:lineRule="auto"/>
        <w:ind w:firstLine="640" w:firstLineChars="200"/>
      </w:pPr>
      <w:r>
        <w:rPr>
          <w:rFonts w:hint="eastAsia"/>
        </w:rPr>
        <w:t>镇人民政府和街道办事处按照职责做好本辖区内的城镇排水与污水处理工作。</w:t>
      </w:r>
    </w:p>
    <w:p>
      <w:pPr>
        <w:suppressAutoHyphens/>
        <w:spacing w:line="300" w:lineRule="auto"/>
        <w:ind w:firstLine="640" w:firstLineChars="200"/>
      </w:pPr>
      <w:r>
        <w:rPr>
          <w:rFonts w:hint="eastAsia" w:eastAsia="黑体"/>
        </w:rPr>
        <w:t>第四条</w:t>
      </w:r>
      <w:r>
        <w:rPr>
          <w:rFonts w:hint="eastAsia"/>
        </w:rPr>
        <w:t xml:space="preserve">  居民委员会应当协助做好城镇排水与污水处理工作，配合有关部门动员、督促辖区内的单位和个人按要求配建自用排水设施并接驳至周边城镇排水设施，协助执法工作开展。</w:t>
      </w:r>
    </w:p>
    <w:p>
      <w:pPr>
        <w:suppressAutoHyphens/>
        <w:spacing w:line="300" w:lineRule="auto"/>
        <w:ind w:firstLine="640" w:firstLineChars="200"/>
      </w:pPr>
      <w:r>
        <w:rPr>
          <w:rFonts w:hint="eastAsia" w:eastAsia="黑体"/>
        </w:rPr>
        <w:t>第五条</w:t>
      </w:r>
      <w:r>
        <w:rPr>
          <w:rFonts w:hint="eastAsia"/>
        </w:rPr>
        <w:t xml:space="preserve">  城镇排水与污水处理设施依法交由专业单位维护运营的，城镇排水与污水处理主管部门（以下简称城镇排水主管部门）应当与维护运营单位签订维护运营协议，明确维护运营责任。</w:t>
      </w:r>
    </w:p>
    <w:p>
      <w:pPr>
        <w:suppressAutoHyphens/>
        <w:spacing w:line="300" w:lineRule="auto"/>
        <w:ind w:firstLine="640" w:firstLineChars="200"/>
      </w:pPr>
      <w:r>
        <w:rPr>
          <w:rFonts w:hint="eastAsia"/>
        </w:rPr>
        <w:t>鼓励政府与社会资本合作投资、建设和维护运营城镇排水与污水处理设施。</w:t>
      </w:r>
    </w:p>
    <w:p>
      <w:pPr>
        <w:suppressAutoHyphens/>
        <w:spacing w:line="300" w:lineRule="auto"/>
        <w:ind w:firstLine="640" w:firstLineChars="200"/>
      </w:pPr>
      <w:r>
        <w:rPr>
          <w:rFonts w:hint="eastAsia"/>
        </w:rPr>
        <w:t>维护运营单位应当依照有关法律法规的规定和维护运营协议的要求，对排水与污水处理设施进行运营维护。</w:t>
      </w:r>
    </w:p>
    <w:p>
      <w:pPr>
        <w:suppressAutoHyphens/>
        <w:spacing w:line="300" w:lineRule="auto"/>
        <w:ind w:firstLine="640" w:firstLineChars="200"/>
      </w:pPr>
      <w:r>
        <w:rPr>
          <w:rFonts w:hint="eastAsia" w:eastAsia="黑体"/>
        </w:rPr>
        <w:t>第六条</w:t>
      </w:r>
      <w:r>
        <w:rPr>
          <w:rFonts w:hint="eastAsia"/>
        </w:rPr>
        <w:t xml:space="preserve">  城镇排水主管部门应当会同生态环境、应急管理、气象等部门建立排水与污水处理设施信息化管理系统，开展气象动态监测，提高降水预警预告水平，健全排水信息共享机制，加强信息安全防护，实现动态化、智能化管理。</w:t>
      </w:r>
    </w:p>
    <w:p>
      <w:pPr>
        <w:suppressAutoHyphens/>
        <w:spacing w:line="300" w:lineRule="auto"/>
        <w:ind w:firstLine="640" w:firstLineChars="200"/>
      </w:pPr>
      <w:r>
        <w:rPr>
          <w:rFonts w:hint="eastAsia"/>
        </w:rPr>
        <w:t>城镇排水主管部门在建立排水与污水处理设施信息系统过程中，需要建设单位、管理单位和排水户（指需要向城镇排水设施排放污水的企事业单位、个体工商户）提供排水与污水处理设施资料的，建设单位、管理单位和排水户应当如实完整提供。</w:t>
      </w:r>
    </w:p>
    <w:p>
      <w:pPr>
        <w:suppressAutoHyphens/>
        <w:spacing w:line="300" w:lineRule="auto"/>
        <w:ind w:firstLine="640" w:firstLineChars="200"/>
      </w:pPr>
      <w:r>
        <w:rPr>
          <w:rFonts w:hint="eastAsia" w:eastAsia="黑体"/>
        </w:rPr>
        <w:t>第七条</w:t>
      </w:r>
      <w:r>
        <w:rPr>
          <w:rFonts w:hint="eastAsia"/>
        </w:rPr>
        <w:t xml:space="preserve">  单位和个人有依法排水、保护排水与污水处理设施的义务，有权对违反本条例的行为进行举报和投诉。</w:t>
      </w:r>
    </w:p>
    <w:p>
      <w:pPr>
        <w:shd w:val="clear" w:color="auto" w:fill="FFFFFF"/>
        <w:adjustRightInd w:val="0"/>
        <w:snapToGrid w:val="0"/>
        <w:spacing w:line="300" w:lineRule="auto"/>
        <w:ind w:firstLine="640" w:firstLineChars="200"/>
        <w:rPr>
          <w:rFonts w:ascii="仿宋_GB2312"/>
          <w:kern w:val="0"/>
          <w:shd w:val="clear" w:color="auto" w:fill="FFFFFF"/>
        </w:rPr>
      </w:pPr>
    </w:p>
    <w:p>
      <w:pPr>
        <w:shd w:val="clear" w:color="auto" w:fill="FFFFFF"/>
        <w:adjustRightInd w:val="0"/>
        <w:snapToGrid w:val="0"/>
        <w:spacing w:line="300" w:lineRule="auto"/>
        <w:jc w:val="center"/>
        <w:rPr>
          <w:rFonts w:ascii="黑体" w:hAnsi="黑体" w:eastAsia="黑体" w:cs="黑体"/>
          <w:kern w:val="0"/>
          <w:shd w:val="clear" w:color="auto" w:fill="FFFFFF"/>
        </w:rPr>
      </w:pPr>
      <w:r>
        <w:rPr>
          <w:rFonts w:hint="eastAsia" w:ascii="黑体" w:hAnsi="黑体" w:eastAsia="黑体" w:cs="黑体"/>
          <w:kern w:val="0"/>
          <w:shd w:val="clear" w:color="auto" w:fill="FFFFFF"/>
        </w:rPr>
        <w:t>第二章 规划与建设</w:t>
      </w:r>
    </w:p>
    <w:p>
      <w:pPr>
        <w:shd w:val="clear" w:color="auto" w:fill="FFFFFF"/>
        <w:adjustRightInd w:val="0"/>
        <w:snapToGrid w:val="0"/>
        <w:spacing w:line="300" w:lineRule="auto"/>
        <w:ind w:firstLine="640" w:firstLineChars="200"/>
        <w:rPr>
          <w:rFonts w:ascii="仿宋_GB2312"/>
          <w:kern w:val="0"/>
          <w:shd w:val="clear" w:color="auto" w:fill="FFFFFF"/>
        </w:rPr>
      </w:pPr>
    </w:p>
    <w:p>
      <w:pPr>
        <w:suppressAutoHyphens/>
        <w:spacing w:line="300" w:lineRule="auto"/>
        <w:ind w:firstLine="640" w:firstLineChars="200"/>
      </w:pPr>
      <w:r>
        <w:rPr>
          <w:rFonts w:hint="eastAsia" w:eastAsia="黑体"/>
        </w:rPr>
        <w:t>第八条</w:t>
      </w:r>
      <w:r>
        <w:rPr>
          <w:rFonts w:hint="eastAsia"/>
        </w:rPr>
        <w:t xml:space="preserve">  市城镇排水主管部门应当会同市自然资源部门自本条例施行之日起六个月内编制完成全市城镇排水与污水处理专项规划，经规划委员会审议并报市人民政府批准后公布实施。</w:t>
      </w:r>
    </w:p>
    <w:p>
      <w:pPr>
        <w:suppressAutoHyphens/>
        <w:spacing w:line="300" w:lineRule="auto"/>
        <w:ind w:firstLine="640" w:firstLineChars="200"/>
      </w:pPr>
      <w:r>
        <w:rPr>
          <w:rFonts w:hint="eastAsia"/>
        </w:rPr>
        <w:t>区（县）城镇排水主管部门应当根据全市城镇排水与污水处理专项规划并自该专项规划实施之日起六个月内编制完成本辖区的城镇排水与污水处理专项规划，经本级人民政府批准后公布实施，并报市城镇排水主管部门备案。</w:t>
      </w:r>
    </w:p>
    <w:p>
      <w:pPr>
        <w:suppressAutoHyphens/>
        <w:spacing w:line="300" w:lineRule="auto"/>
        <w:ind w:firstLine="640" w:firstLineChars="200"/>
      </w:pPr>
      <w:r>
        <w:rPr>
          <w:rFonts w:hint="eastAsia"/>
        </w:rPr>
        <w:t>城镇排水与污水处理专项规划应当符合国土空间规划、水污染防治规划和防洪排涝规划，并与海绵城市、道路、生态空间、水系等专项规划相衔接。</w:t>
      </w:r>
    </w:p>
    <w:p>
      <w:pPr>
        <w:suppressAutoHyphens/>
        <w:spacing w:line="300" w:lineRule="auto"/>
        <w:ind w:firstLine="640" w:firstLineChars="200"/>
      </w:pPr>
      <w:r>
        <w:rPr>
          <w:rFonts w:hint="eastAsia"/>
        </w:rPr>
        <w:t>自然资源部门组织编制国土空间规划时，应当统筹城镇排水与污水处理专项规划中的空间布局和用地需求等内容。</w:t>
      </w:r>
    </w:p>
    <w:p>
      <w:pPr>
        <w:suppressAutoHyphens/>
        <w:spacing w:line="300" w:lineRule="auto"/>
        <w:ind w:firstLine="640" w:firstLineChars="200"/>
      </w:pPr>
      <w:r>
        <w:rPr>
          <w:rFonts w:hint="eastAsia" w:eastAsia="黑体"/>
        </w:rPr>
        <w:t>第九条</w:t>
      </w:r>
      <w:r>
        <w:rPr>
          <w:rFonts w:hint="eastAsia"/>
        </w:rPr>
        <w:t xml:space="preserve">  城镇排水主管部门应当根据城镇排水与污水处理专项规划，组织制定年度城镇排水与污水处理设施建设改造计划，经本级人民政府批准后组织实施。</w:t>
      </w:r>
    </w:p>
    <w:p>
      <w:pPr>
        <w:suppressAutoHyphens/>
        <w:spacing w:line="300" w:lineRule="auto"/>
        <w:ind w:firstLine="640" w:firstLineChars="200"/>
      </w:pPr>
      <w:r>
        <w:rPr>
          <w:rFonts w:hint="eastAsia" w:eastAsia="黑体"/>
        </w:rPr>
        <w:t>第十条</w:t>
      </w:r>
      <w:r>
        <w:rPr>
          <w:rFonts w:hint="eastAsia"/>
        </w:rPr>
        <w:t xml:space="preserve">  按照海绵城市建设要求需要建设雨水源头控制和利用设施的建设项目，应当充分发挥建筑物、道路、绿地、水系、地下空间等对雨水的吸纳、蓄渗和缓释作用，削减雨水径流和面源污染，提高排水能力。</w:t>
      </w:r>
    </w:p>
    <w:p>
      <w:pPr>
        <w:suppressAutoHyphens/>
        <w:spacing w:line="300" w:lineRule="auto"/>
        <w:ind w:firstLine="640" w:firstLineChars="200"/>
      </w:pPr>
      <w:r>
        <w:rPr>
          <w:rFonts w:hint="eastAsia" w:eastAsia="黑体"/>
        </w:rPr>
        <w:t>第十一条</w:t>
      </w:r>
      <w:r>
        <w:rPr>
          <w:rFonts w:hint="eastAsia"/>
        </w:rPr>
        <w:t xml:space="preserve">  城镇新建区域应当实行雨污分流，雨水管网和污水管网不得混接；已建成区域未实行雨污分流的，应当根据年度城镇排水与污水处理设施建设改造计划进行雨污分流改造，并结合城市更新、道路建设等建设工程同步实施。</w:t>
      </w:r>
    </w:p>
    <w:p>
      <w:pPr>
        <w:suppressAutoHyphens/>
        <w:spacing w:line="300" w:lineRule="auto"/>
        <w:ind w:firstLine="640" w:firstLineChars="200"/>
      </w:pPr>
      <w:r>
        <w:rPr>
          <w:rFonts w:hint="eastAsia"/>
        </w:rPr>
        <w:t>新建、改建、扩建的排水设施建设项目应当建设雨污分流排放设施。</w:t>
      </w:r>
    </w:p>
    <w:p>
      <w:pPr>
        <w:suppressAutoHyphens/>
        <w:spacing w:line="300" w:lineRule="auto"/>
        <w:ind w:firstLine="640" w:firstLineChars="200"/>
      </w:pPr>
      <w:r>
        <w:rPr>
          <w:rFonts w:hint="eastAsia"/>
        </w:rPr>
        <w:t>新建建筑物楼顶公共天面应当设置独立雨水排放系统；住宅的阳台和露台的排水管道应当接入污水管网。</w:t>
      </w:r>
    </w:p>
    <w:p>
      <w:pPr>
        <w:suppressAutoHyphens/>
        <w:spacing w:line="300" w:lineRule="auto"/>
        <w:ind w:firstLine="640" w:firstLineChars="200"/>
      </w:pPr>
      <w:r>
        <w:rPr>
          <w:rFonts w:hint="eastAsia"/>
        </w:rPr>
        <w:t>城镇排水主管部门应当加强对排水设施的排查，发现有雨水管网和污水管网混接情况的，应当要求相关责任人整改。</w:t>
      </w:r>
    </w:p>
    <w:p>
      <w:pPr>
        <w:suppressAutoHyphens/>
        <w:spacing w:line="300" w:lineRule="auto"/>
        <w:ind w:firstLine="640" w:firstLineChars="200"/>
      </w:pPr>
      <w:r>
        <w:rPr>
          <w:rFonts w:hint="eastAsia" w:eastAsia="黑体"/>
        </w:rPr>
        <w:t>第十二条</w:t>
      </w:r>
      <w:r>
        <w:rPr>
          <w:rFonts w:hint="eastAsia"/>
        </w:rPr>
        <w:t xml:space="preserve">  城镇排水主管部门应当加强对城镇排水与污水处理设施建设的指导和监督。</w:t>
      </w:r>
    </w:p>
    <w:p>
      <w:pPr>
        <w:suppressAutoHyphens/>
        <w:spacing w:line="300" w:lineRule="auto"/>
        <w:ind w:firstLine="640" w:firstLineChars="200"/>
      </w:pPr>
      <w:r>
        <w:rPr>
          <w:rFonts w:hint="eastAsia"/>
        </w:rPr>
        <w:t>城镇排水与污水处理设施建设项目以及需要与城镇排水与污水处理设施相连接的建设项目，建设单位应当编制排水设计方案，自然资源部门在实施规划许可时应当征求城镇排水主管部门的意见。城镇排水主管部门应当就排水设计方案是否符合城镇排水与污水处理专项规划和相关标准的要求研究提出意见，必要时咨询城镇排水与污水处理设施维护运营单位。</w:t>
      </w:r>
    </w:p>
    <w:p>
      <w:pPr>
        <w:suppressAutoHyphens/>
        <w:spacing w:line="300" w:lineRule="auto"/>
        <w:ind w:firstLine="640" w:firstLineChars="200"/>
      </w:pPr>
      <w:r>
        <w:rPr>
          <w:rFonts w:hint="eastAsia" w:eastAsia="黑体"/>
        </w:rPr>
        <w:t>第十三条</w:t>
      </w:r>
      <w:r>
        <w:rPr>
          <w:rFonts w:hint="eastAsia"/>
        </w:rPr>
        <w:t xml:space="preserve">  建设项目需要配建自用排水与污水处理设施的，应当按照城镇排水与污水处理专项规划和相关标准的要求，预留建设空间并进行设计和建设；需要接入城镇排水设施的，应当在接入点前井口处设置标识。</w:t>
      </w:r>
    </w:p>
    <w:p>
      <w:pPr>
        <w:suppressAutoHyphens/>
        <w:spacing w:line="300" w:lineRule="auto"/>
        <w:ind w:firstLine="640" w:firstLineChars="200"/>
      </w:pPr>
      <w:r>
        <w:rPr>
          <w:rFonts w:hint="eastAsia"/>
        </w:rPr>
        <w:t>建设项目配建自用的排水与污水处理设施应当与主体工程同步设计、验收和投入使用。</w:t>
      </w:r>
    </w:p>
    <w:p>
      <w:pPr>
        <w:suppressAutoHyphens/>
        <w:spacing w:line="300" w:lineRule="auto"/>
        <w:ind w:firstLine="640" w:firstLineChars="200"/>
      </w:pPr>
      <w:r>
        <w:rPr>
          <w:rFonts w:hint="eastAsia" w:eastAsia="黑体"/>
        </w:rPr>
        <w:t>第十四条</w:t>
      </w:r>
      <w:r>
        <w:rPr>
          <w:rFonts w:hint="eastAsia"/>
        </w:rPr>
        <w:t xml:space="preserve">  排水设施竣工验收前，建设单位应当委托具有相应技术力量的专业机构进行管网内窥检测并出具检测报告。检测结果符合相关技术规范和设计文件要求的，方可进行竣工验收。</w:t>
      </w:r>
    </w:p>
    <w:p>
      <w:pPr>
        <w:suppressAutoHyphens/>
        <w:spacing w:line="300" w:lineRule="auto"/>
        <w:ind w:firstLine="640" w:firstLineChars="200"/>
      </w:pPr>
      <w:r>
        <w:rPr>
          <w:rFonts w:hint="eastAsia"/>
        </w:rPr>
        <w:t>排水设施应当符合下列条件方可验收合格：</w:t>
      </w:r>
    </w:p>
    <w:p>
      <w:pPr>
        <w:suppressAutoHyphens/>
        <w:spacing w:line="300" w:lineRule="auto"/>
        <w:ind w:firstLine="640" w:firstLineChars="200"/>
      </w:pPr>
      <w:r>
        <w:rPr>
          <w:rFonts w:hint="eastAsia"/>
        </w:rPr>
        <w:t>（一）符合相关标准或者技术规范；</w:t>
      </w:r>
    </w:p>
    <w:p>
      <w:pPr>
        <w:suppressAutoHyphens/>
        <w:spacing w:line="300" w:lineRule="auto"/>
        <w:ind w:firstLine="640" w:firstLineChars="200"/>
      </w:pPr>
      <w:r>
        <w:rPr>
          <w:rFonts w:hint="eastAsia"/>
        </w:rPr>
        <w:t>（二）符合相关部门批准的文件和图纸；</w:t>
      </w:r>
    </w:p>
    <w:p>
      <w:pPr>
        <w:suppressAutoHyphens/>
        <w:spacing w:line="300" w:lineRule="auto"/>
        <w:ind w:firstLine="640" w:firstLineChars="200"/>
      </w:pPr>
      <w:r>
        <w:rPr>
          <w:rFonts w:hint="eastAsia"/>
        </w:rPr>
        <w:t>（三）符合雨污分流和防洪排涝的有关规定；</w:t>
      </w:r>
    </w:p>
    <w:p>
      <w:pPr>
        <w:suppressAutoHyphens/>
        <w:spacing w:line="300" w:lineRule="auto"/>
        <w:ind w:firstLine="640" w:firstLineChars="200"/>
      </w:pPr>
      <w:r>
        <w:rPr>
          <w:rFonts w:hint="eastAsia"/>
        </w:rPr>
        <w:t>（四）排水设施完好、畅通，提供管网内窥检测报告；</w:t>
      </w:r>
    </w:p>
    <w:p>
      <w:pPr>
        <w:suppressAutoHyphens/>
        <w:spacing w:line="300" w:lineRule="auto"/>
        <w:ind w:firstLine="640" w:firstLineChars="200"/>
      </w:pPr>
      <w:r>
        <w:rPr>
          <w:rFonts w:hint="eastAsia"/>
        </w:rPr>
        <w:t>（五）法律法规规定的其他条件。</w:t>
      </w:r>
    </w:p>
    <w:p>
      <w:pPr>
        <w:suppressAutoHyphens/>
        <w:spacing w:line="300" w:lineRule="auto"/>
        <w:ind w:firstLine="640" w:firstLineChars="200"/>
      </w:pPr>
      <w:r>
        <w:rPr>
          <w:rFonts w:hint="eastAsia" w:eastAsia="黑体"/>
        </w:rPr>
        <w:t>第十五条</w:t>
      </w:r>
      <w:r>
        <w:rPr>
          <w:rFonts w:hint="eastAsia"/>
        </w:rPr>
        <w:t xml:space="preserve">  排水与污水处理设施竣工后，建设单位应当依法组织竣工验收，并知会城镇排水主管部门派员参加；隐蔽性设施的验收应当在覆土前进行。竣工验收合格的，方可交付使用。</w:t>
      </w:r>
    </w:p>
    <w:p>
      <w:pPr>
        <w:suppressAutoHyphens/>
        <w:spacing w:line="300" w:lineRule="auto"/>
        <w:ind w:firstLine="640" w:firstLineChars="200"/>
      </w:pPr>
      <w:r>
        <w:rPr>
          <w:rFonts w:hint="eastAsia"/>
        </w:rPr>
        <w:t>建设单位应当自排水与污水处理设施竣工验收合格之日起十五日内，将竣工验收报告及相关资料报送城镇排水主管部门备案。</w:t>
      </w:r>
    </w:p>
    <w:p>
      <w:pPr>
        <w:suppressAutoHyphens/>
        <w:spacing w:line="300" w:lineRule="auto"/>
        <w:ind w:firstLine="640" w:firstLineChars="200"/>
      </w:pPr>
      <w:r>
        <w:rPr>
          <w:rFonts w:hint="eastAsia" w:eastAsia="黑体"/>
        </w:rPr>
        <w:t>第十六条</w:t>
      </w:r>
      <w:r>
        <w:rPr>
          <w:rFonts w:hint="eastAsia"/>
        </w:rPr>
        <w:t xml:space="preserve">  排水与污水处理设施竣工验收合格后移交给维护运营单位的，建设单位应当与维护运营单位办理设施及其相关建设资料的移交手续，并通知城镇排水主管部门参加。</w:t>
      </w:r>
    </w:p>
    <w:p>
      <w:pPr>
        <w:suppressAutoHyphens/>
        <w:spacing w:line="300" w:lineRule="auto"/>
        <w:ind w:firstLine="640" w:firstLineChars="200"/>
      </w:pPr>
      <w:r>
        <w:rPr>
          <w:rFonts w:hint="eastAsia"/>
        </w:rPr>
        <w:t>排水与污水处理设施维护运营单位应当组织人员到现场核实，并与建设单位签订移交协议。</w:t>
      </w:r>
    </w:p>
    <w:p>
      <w:pPr>
        <w:shd w:val="clear" w:color="auto" w:fill="FFFFFF"/>
        <w:adjustRightInd w:val="0"/>
        <w:snapToGrid w:val="0"/>
        <w:spacing w:line="300" w:lineRule="auto"/>
        <w:ind w:firstLine="640" w:firstLineChars="200"/>
        <w:rPr>
          <w:rFonts w:ascii="仿宋_GB2312"/>
          <w:kern w:val="0"/>
          <w:shd w:val="clear" w:color="auto" w:fill="FFFFFF"/>
        </w:rPr>
      </w:pPr>
    </w:p>
    <w:p>
      <w:pPr>
        <w:shd w:val="clear" w:color="auto" w:fill="FFFFFF"/>
        <w:adjustRightInd w:val="0"/>
        <w:snapToGrid w:val="0"/>
        <w:spacing w:line="300" w:lineRule="auto"/>
        <w:jc w:val="center"/>
        <w:rPr>
          <w:rFonts w:ascii="黑体" w:hAnsi="黑体" w:eastAsia="黑体" w:cs="黑体"/>
          <w:kern w:val="0"/>
          <w:shd w:val="clear" w:color="auto" w:fill="FFFFFF"/>
        </w:rPr>
      </w:pPr>
      <w:r>
        <w:rPr>
          <w:rFonts w:hint="eastAsia" w:ascii="黑体" w:hAnsi="黑体" w:eastAsia="黑体" w:cs="黑体"/>
          <w:kern w:val="0"/>
          <w:shd w:val="clear" w:color="auto" w:fill="FFFFFF"/>
        </w:rPr>
        <w:t>第三章 排水与污水处理</w:t>
      </w:r>
    </w:p>
    <w:p>
      <w:pPr>
        <w:shd w:val="clear" w:color="auto" w:fill="FFFFFF"/>
        <w:adjustRightInd w:val="0"/>
        <w:snapToGrid w:val="0"/>
        <w:spacing w:line="300" w:lineRule="auto"/>
        <w:ind w:firstLine="640" w:firstLineChars="200"/>
        <w:rPr>
          <w:rFonts w:ascii="仿宋_GB2312"/>
          <w:kern w:val="0"/>
          <w:shd w:val="clear" w:color="auto" w:fill="FFFFFF"/>
        </w:rPr>
      </w:pPr>
    </w:p>
    <w:p>
      <w:pPr>
        <w:suppressAutoHyphens/>
        <w:spacing w:line="300" w:lineRule="auto"/>
        <w:ind w:firstLine="640" w:firstLineChars="200"/>
      </w:pPr>
      <w:r>
        <w:rPr>
          <w:rFonts w:hint="eastAsia" w:eastAsia="黑体"/>
        </w:rPr>
        <w:t>第十七条</w:t>
      </w:r>
      <w:r>
        <w:rPr>
          <w:rFonts w:hint="eastAsia"/>
        </w:rPr>
        <w:t xml:space="preserve">  城镇排水设施覆盖范围内的排水单位和个人，应当按照国家和地方有关规定将污水排入城镇排水设施。</w:t>
      </w:r>
    </w:p>
    <w:p>
      <w:pPr>
        <w:suppressAutoHyphens/>
        <w:spacing w:line="300" w:lineRule="auto"/>
        <w:ind w:firstLine="640" w:firstLineChars="200"/>
      </w:pPr>
      <w:r>
        <w:rPr>
          <w:rFonts w:hint="eastAsia"/>
        </w:rPr>
        <w:t>禁止在雨污分流地区混排雨水、污水。</w:t>
      </w:r>
    </w:p>
    <w:p>
      <w:pPr>
        <w:suppressAutoHyphens/>
        <w:spacing w:line="300" w:lineRule="auto"/>
        <w:ind w:firstLine="640" w:firstLineChars="200"/>
      </w:pPr>
      <w:r>
        <w:rPr>
          <w:rFonts w:hint="eastAsia" w:eastAsia="黑体"/>
        </w:rPr>
        <w:t>第十八条</w:t>
      </w:r>
      <w:r>
        <w:rPr>
          <w:rFonts w:hint="eastAsia"/>
        </w:rPr>
        <w:t xml:space="preserve">  除本条第二款另有规定外，排水户应当依法向所在区（县）城镇排水主管部门申领污水排入排水管网许可证（以下简称排水许可证）后，方可向城镇排水设施排放污水；直接向市管城镇排水设施排放污水的，向市城镇排水主管部门申领排水许可证。排水户有下列情形之一的，可以由相关单位申领排水许可证，并对排水户的排水行为负责：</w:t>
      </w:r>
    </w:p>
    <w:p>
      <w:pPr>
        <w:suppressAutoHyphens/>
        <w:spacing w:line="300" w:lineRule="auto"/>
        <w:ind w:firstLine="640" w:firstLineChars="200"/>
      </w:pPr>
      <w:r>
        <w:rPr>
          <w:rFonts w:hint="eastAsia"/>
        </w:rPr>
        <w:t>（一）属垃圾转运站的，由管理单位申领；</w:t>
      </w:r>
    </w:p>
    <w:p>
      <w:pPr>
        <w:suppressAutoHyphens/>
        <w:spacing w:line="300" w:lineRule="auto"/>
        <w:ind w:firstLine="640" w:firstLineChars="200"/>
      </w:pPr>
      <w:r>
        <w:rPr>
          <w:rFonts w:hint="eastAsia"/>
        </w:rPr>
        <w:t>（二）属商业综合体等集中管理的建筑或者单位内有多个排水户的，由产权人、经营管理单位或者物业服务人统一申领；</w:t>
      </w:r>
    </w:p>
    <w:p>
      <w:pPr>
        <w:suppressAutoHyphens/>
        <w:spacing w:line="300" w:lineRule="auto"/>
        <w:ind w:firstLine="640" w:firstLineChars="200"/>
      </w:pPr>
      <w:r>
        <w:rPr>
          <w:rFonts w:hint="eastAsia"/>
        </w:rPr>
        <w:t>（三）属施工作业企业的，由建设单位申领。</w:t>
      </w:r>
    </w:p>
    <w:p>
      <w:pPr>
        <w:suppressAutoHyphens/>
        <w:spacing w:line="300" w:lineRule="auto"/>
        <w:ind w:firstLine="640" w:firstLineChars="200"/>
      </w:pPr>
      <w:r>
        <w:rPr>
          <w:rFonts w:hint="eastAsia"/>
        </w:rPr>
        <w:t>排水户营业面积较小或者排水量较少，且排放污水污染物浓度较低的，无需申领排水许可证，但是应当向城镇排水主管部门办理备案手续。具体管理办法由市人民政府另行制定。</w:t>
      </w:r>
    </w:p>
    <w:p>
      <w:pPr>
        <w:suppressAutoHyphens/>
        <w:spacing w:line="300" w:lineRule="auto"/>
        <w:ind w:firstLine="640" w:firstLineChars="200"/>
      </w:pPr>
      <w:r>
        <w:rPr>
          <w:rFonts w:hint="eastAsia" w:eastAsia="黑体"/>
        </w:rPr>
        <w:t>第十九条</w:t>
      </w:r>
      <w:r>
        <w:rPr>
          <w:rFonts w:hint="eastAsia"/>
        </w:rPr>
        <w:t xml:space="preserve">  按规定需由排水户自行承担建设的排水设施应当符合城镇排水与污水处理专项规划要求。</w:t>
      </w:r>
    </w:p>
    <w:p>
      <w:pPr>
        <w:suppressAutoHyphens/>
        <w:spacing w:line="300" w:lineRule="auto"/>
        <w:ind w:firstLine="640" w:firstLineChars="200"/>
      </w:pPr>
      <w:r>
        <w:rPr>
          <w:rFonts w:hint="eastAsia"/>
        </w:rPr>
        <w:t>排水户应当按照排水许可或者备案的要求将污水排入城镇排水设施。</w:t>
      </w:r>
    </w:p>
    <w:p>
      <w:pPr>
        <w:suppressAutoHyphens/>
        <w:spacing w:line="300" w:lineRule="auto"/>
        <w:ind w:firstLine="640" w:firstLineChars="200"/>
      </w:pPr>
      <w:r>
        <w:rPr>
          <w:rFonts w:hint="eastAsia"/>
        </w:rPr>
        <w:t>鼓励已配套污水处理设施的工业企业和在建工地实行中水回用。</w:t>
      </w:r>
    </w:p>
    <w:p>
      <w:pPr>
        <w:suppressAutoHyphens/>
        <w:spacing w:line="300" w:lineRule="auto"/>
        <w:ind w:firstLine="640" w:firstLineChars="200"/>
      </w:pPr>
      <w:r>
        <w:rPr>
          <w:rFonts w:hint="eastAsia" w:eastAsia="黑体"/>
        </w:rPr>
        <w:t>第二十条</w:t>
      </w:r>
      <w:r>
        <w:rPr>
          <w:rFonts w:hint="eastAsia"/>
        </w:rPr>
        <w:t xml:space="preserve">  排水户向城镇排水设施排放的污水，应当符合国家和地方有关标准；不符合标准的，应当进行预处理，达标后方可排放。</w:t>
      </w:r>
    </w:p>
    <w:p>
      <w:pPr>
        <w:suppressAutoHyphens/>
        <w:spacing w:line="300" w:lineRule="auto"/>
        <w:ind w:firstLine="640" w:firstLineChars="200"/>
      </w:pPr>
      <w:r>
        <w:rPr>
          <w:rFonts w:hint="eastAsia"/>
        </w:rPr>
        <w:t>从事工业、建筑、餐饮、医疗、畜禽养殖、屠宰、腌制、洗涤、汽车修理、洗车等活动的排水户，应当建设相应的沉淀、油水分离、隔油等排水预处理设施，并及时清疏，保障预处理设施正常运行。</w:t>
      </w:r>
    </w:p>
    <w:p>
      <w:pPr>
        <w:suppressAutoHyphens/>
        <w:spacing w:line="300" w:lineRule="auto"/>
        <w:ind w:firstLine="640" w:firstLineChars="200"/>
      </w:pPr>
      <w:r>
        <w:rPr>
          <w:rFonts w:hint="eastAsia"/>
        </w:rPr>
        <w:t>市城镇排水主管部门应当制定相关规定，明确排水预处理设施建设的具体要求和鼓励措施，推进预处理设施建设。</w:t>
      </w:r>
    </w:p>
    <w:p>
      <w:pPr>
        <w:suppressAutoHyphens/>
        <w:spacing w:line="300" w:lineRule="auto"/>
        <w:ind w:firstLine="640" w:firstLineChars="200"/>
      </w:pPr>
      <w:r>
        <w:rPr>
          <w:rFonts w:hint="eastAsia" w:eastAsia="黑体"/>
        </w:rPr>
        <w:t>第二十一条</w:t>
      </w:r>
      <w:r>
        <w:rPr>
          <w:rFonts w:hint="eastAsia"/>
        </w:rPr>
        <w:t xml:space="preserve">  城镇排水主管部门应当建立排水户分类管理制度，区分一般排水户和重点排水户并明确相应的排水管理要求，对排水户档案实行信息化管理，将排水户接入排水管网点位、主要污染物排放信息载入排水与污水处理地理信息系统。</w:t>
      </w:r>
    </w:p>
    <w:p>
      <w:pPr>
        <w:suppressAutoHyphens/>
        <w:spacing w:line="300" w:lineRule="auto"/>
        <w:ind w:firstLine="640" w:firstLineChars="200"/>
      </w:pPr>
      <w:r>
        <w:rPr>
          <w:rFonts w:hint="eastAsia"/>
        </w:rPr>
        <w:t>城镇排水主管部门应当对重点排水户排放污水的水质进行监测，对水量进行复核，并将相关信息纳入排水户档案。</w:t>
      </w:r>
    </w:p>
    <w:p>
      <w:pPr>
        <w:suppressAutoHyphens/>
        <w:spacing w:line="300" w:lineRule="auto"/>
        <w:ind w:firstLine="640" w:firstLineChars="200"/>
      </w:pPr>
      <w:r>
        <w:rPr>
          <w:rFonts w:hint="eastAsia"/>
        </w:rPr>
        <w:t>城镇排水主管部门应当会同生态环境部门对工业类排水户进行评估，经评估认定排放的污水不符合国家和地方有关标准的，提出整改要求；不予整改的，撤销排水许可证或者备案。</w:t>
      </w:r>
    </w:p>
    <w:p>
      <w:pPr>
        <w:suppressAutoHyphens/>
        <w:spacing w:line="300" w:lineRule="auto"/>
        <w:ind w:firstLine="640" w:firstLineChars="200"/>
      </w:pPr>
      <w:r>
        <w:rPr>
          <w:rFonts w:hint="eastAsia"/>
        </w:rPr>
        <w:t>城镇排水主管部门和生态环境部门应当共享工业废水监测信息。</w:t>
      </w:r>
    </w:p>
    <w:p>
      <w:pPr>
        <w:suppressAutoHyphens/>
        <w:spacing w:line="300" w:lineRule="auto"/>
        <w:ind w:firstLine="640" w:firstLineChars="200"/>
      </w:pPr>
      <w:r>
        <w:rPr>
          <w:rFonts w:hint="eastAsia" w:eastAsia="黑体"/>
        </w:rPr>
        <w:t>第二十二条</w:t>
      </w:r>
      <w:r>
        <w:rPr>
          <w:rFonts w:hint="eastAsia"/>
        </w:rPr>
        <w:t xml:space="preserve">  城镇排水主管部门根据工作需要可以依法委托城镇排水设施维护运营单位或者其他具有相应技术力量的专业机构，为项目建设、排水许可和备案、排水监测等排水监管工作提供技术服务。</w:t>
      </w:r>
    </w:p>
    <w:p>
      <w:pPr>
        <w:suppressAutoHyphens/>
        <w:spacing w:line="300" w:lineRule="auto"/>
        <w:ind w:firstLine="640" w:firstLineChars="200"/>
      </w:pPr>
      <w:r>
        <w:rPr>
          <w:rFonts w:hint="eastAsia"/>
        </w:rPr>
        <w:t>有关专业机构应当依法公正客观提供技术服务，不得向排水户收取任何费用。</w:t>
      </w:r>
    </w:p>
    <w:p>
      <w:pPr>
        <w:suppressAutoHyphens/>
        <w:spacing w:line="300" w:lineRule="auto"/>
        <w:ind w:firstLine="640" w:firstLineChars="200"/>
      </w:pPr>
      <w:r>
        <w:rPr>
          <w:rFonts w:hint="eastAsia" w:eastAsia="黑体"/>
        </w:rPr>
        <w:t>第二十三条</w:t>
      </w:r>
      <w:r>
        <w:rPr>
          <w:rFonts w:hint="eastAsia"/>
        </w:rPr>
        <w:t xml:space="preserve">  市城镇排水主管部门应当会同应急管理、水务、住房城乡建设、自然资源、生态环境、交通运输、公安等部门以及城镇排水设施维护运营单位，建立城市内涝治理联合行动机制，编制内涝治理系统化实施方案，经市人民政府依法批准后纳入国土空间规划。区（县）人民政府应当组织编制本辖区的内涝治理系统化实施方案。</w:t>
      </w:r>
    </w:p>
    <w:p>
      <w:pPr>
        <w:suppressAutoHyphens/>
        <w:spacing w:line="300" w:lineRule="auto"/>
        <w:ind w:firstLine="640" w:firstLineChars="200"/>
      </w:pPr>
      <w:r>
        <w:rPr>
          <w:rFonts w:hint="eastAsia" w:eastAsia="黑体"/>
        </w:rPr>
        <w:t>第二十四条</w:t>
      </w:r>
      <w:r>
        <w:rPr>
          <w:rFonts w:hint="eastAsia"/>
        </w:rPr>
        <w:t xml:space="preserve">  市、区（县）人民政府应当采取有效措施，加强本辖区内涝治理设施建设，提高内涝治理能力。</w:t>
      </w:r>
    </w:p>
    <w:p>
      <w:pPr>
        <w:suppressAutoHyphens/>
        <w:spacing w:line="300" w:lineRule="auto"/>
        <w:ind w:firstLine="640" w:firstLineChars="200"/>
      </w:pPr>
      <w:r>
        <w:rPr>
          <w:rFonts w:hint="eastAsia"/>
        </w:rPr>
        <w:t>城镇排水主管部门应当会同应急管理、水务、住房城乡建设、自然资源、生态环境、交通运输、公安等部门以及城镇排水设施维护运营单位，加强本辖区内低洼区域、排涝不畅区域的内涝综合治理，疏浚排涝通道，配置符合排涝抢险要求的强制排水设施和装备；全面开展汛前隐患排查和整治，在易涝点等重点部位设置积水深度监测和预警信息在线实时报送设施，并将监测和预警信息与应急管理、交通运输、公安等相关部门共享。</w:t>
      </w:r>
    </w:p>
    <w:p>
      <w:pPr>
        <w:suppressAutoHyphens/>
        <w:spacing w:line="300" w:lineRule="auto"/>
        <w:ind w:firstLine="640" w:firstLineChars="200"/>
      </w:pPr>
      <w:r>
        <w:rPr>
          <w:rFonts w:hint="eastAsia"/>
        </w:rPr>
        <w:t>供水、供电、供气、排水与污水处理、广播电视、通信等公用企事业单位应当采取必要的内涝治理措施应对内涝风险。</w:t>
      </w:r>
    </w:p>
    <w:p>
      <w:pPr>
        <w:suppressAutoHyphens/>
        <w:spacing w:line="300" w:lineRule="auto"/>
        <w:ind w:firstLine="640" w:firstLineChars="200"/>
      </w:pPr>
      <w:r>
        <w:rPr>
          <w:rFonts w:hint="eastAsia" w:eastAsia="黑体"/>
        </w:rPr>
        <w:t>第二十五条</w:t>
      </w:r>
      <w:r>
        <w:rPr>
          <w:rFonts w:hint="eastAsia"/>
        </w:rPr>
        <w:t xml:space="preserve">  城镇排水主管部门应当建立日常监管机制，对城镇污水处理设施的运行、维护以及污水处理、污泥处理处置进行全过程监管。生态环境部门应当对城镇污水处理设施的出水水质和水量进行监督检查。</w:t>
      </w:r>
    </w:p>
    <w:p>
      <w:pPr>
        <w:suppressAutoHyphens/>
        <w:spacing w:line="300" w:lineRule="auto"/>
        <w:ind w:firstLine="640" w:firstLineChars="200"/>
      </w:pPr>
      <w:r>
        <w:rPr>
          <w:rFonts w:hint="eastAsia"/>
        </w:rPr>
        <w:t>城镇污水处理设施维护运营单位应当安装在线监测装置，在线监测装置应当与城镇排水主管部门、生态环境部门的监控系统联网并确保正常运行。</w:t>
      </w:r>
    </w:p>
    <w:p>
      <w:pPr>
        <w:suppressAutoHyphens/>
        <w:spacing w:line="300" w:lineRule="auto"/>
        <w:ind w:firstLine="640" w:firstLineChars="200"/>
      </w:pPr>
      <w:r>
        <w:rPr>
          <w:rFonts w:hint="eastAsia" w:eastAsia="黑体"/>
        </w:rPr>
        <w:t>第二十六条</w:t>
      </w:r>
      <w:r>
        <w:rPr>
          <w:rFonts w:hint="eastAsia"/>
        </w:rPr>
        <w:t xml:space="preserve">  城镇污水处理设施维护运营单位应当定期向城镇排水主管部门、生态环境部门报送污水处理进出水水质水量、泥质泥量、主要污染物削减量等信息，定期向社会公开污水处理量、主要污染物削减量、出水指标和设施运营情况，确保出水水质达到国家和地方规定的排放标准。</w:t>
      </w:r>
    </w:p>
    <w:p>
      <w:pPr>
        <w:suppressAutoHyphens/>
        <w:spacing w:line="300" w:lineRule="auto"/>
        <w:ind w:firstLine="640" w:firstLineChars="200"/>
      </w:pPr>
      <w:r>
        <w:rPr>
          <w:rFonts w:hint="eastAsia" w:eastAsia="黑体"/>
        </w:rPr>
        <w:t>第二十七条</w:t>
      </w:r>
      <w:r>
        <w:rPr>
          <w:rFonts w:hint="eastAsia"/>
        </w:rPr>
        <w:t xml:space="preserve">  城镇污水处理设施维护运营单位和负责污泥运输、处理处置的单位应当遵循污泥处理处置源头削减和全流程控制要求，安全处理处置污泥，加强污泥环境风险防范，建立规范的污泥管理台账制度和污泥转运联单制度，对污泥去向、用途、用量等进行跟踪、记录，并向城镇排水主管部门和生态环境部门报告，保证处理处置后的污泥符合国家有关标准；处理处置不当造成环境污染的，应当进行修复、治理和赔偿。</w:t>
      </w:r>
    </w:p>
    <w:p>
      <w:pPr>
        <w:suppressAutoHyphens/>
        <w:spacing w:line="300" w:lineRule="auto"/>
        <w:ind w:firstLine="640" w:firstLineChars="200"/>
      </w:pPr>
      <w:r>
        <w:rPr>
          <w:rFonts w:hint="eastAsia"/>
        </w:rPr>
        <w:t>污泥运输单位应当对污泥运输车辆、船只采取密闭措施防止渗漏和遗撒，设置统一标识和配备定位设备，并按照规定的时段、路线转运污泥。具体时段和路线由城镇排水主管部门会同公安机关交通管理、交通运输等部门制定。</w:t>
      </w:r>
    </w:p>
    <w:p>
      <w:pPr>
        <w:suppressAutoHyphens/>
        <w:spacing w:line="300" w:lineRule="auto"/>
        <w:ind w:firstLine="640" w:firstLineChars="200"/>
      </w:pPr>
      <w:r>
        <w:rPr>
          <w:rFonts w:hint="eastAsia"/>
        </w:rPr>
        <w:t>城镇排水设施维护运营单位应当委托具有相应资质的单位集中处置城镇排水设施清淤产生的污泥。</w:t>
      </w:r>
    </w:p>
    <w:p>
      <w:pPr>
        <w:suppressAutoHyphens/>
        <w:spacing w:line="300" w:lineRule="auto"/>
        <w:ind w:firstLine="640" w:firstLineChars="200"/>
      </w:pPr>
      <w:r>
        <w:rPr>
          <w:rFonts w:hint="eastAsia"/>
        </w:rPr>
        <w:t>城镇排水主管部门应当依据城镇排水与污水处理专项规划合理设置污泥临时堆放点。</w:t>
      </w:r>
    </w:p>
    <w:p>
      <w:pPr>
        <w:suppressAutoHyphens/>
        <w:spacing w:line="300" w:lineRule="auto"/>
        <w:ind w:firstLine="640" w:firstLineChars="200"/>
      </w:pPr>
      <w:r>
        <w:rPr>
          <w:rFonts w:hint="eastAsia" w:eastAsia="黑体"/>
        </w:rPr>
        <w:t>第二十八条</w:t>
      </w:r>
      <w:r>
        <w:rPr>
          <w:rFonts w:hint="eastAsia"/>
        </w:rPr>
        <w:t xml:space="preserve">  单位和个人应当依法缴纳污水处理费。污水处理费纳入财政预算管理，专项用于污水处理设施的建设、运行维护以及污泥处理处置和污水处理费代征手续费支出。</w:t>
      </w:r>
    </w:p>
    <w:p>
      <w:pPr>
        <w:suppressAutoHyphens/>
        <w:spacing w:line="300" w:lineRule="auto"/>
        <w:ind w:firstLine="640" w:firstLineChars="200"/>
      </w:pPr>
      <w:r>
        <w:rPr>
          <w:rFonts w:hint="eastAsia"/>
        </w:rPr>
        <w:t>城镇排水主管部门应当每年向社会公开污水处理费的收取和使用情况。</w:t>
      </w:r>
    </w:p>
    <w:p>
      <w:pPr>
        <w:suppressAutoHyphens/>
        <w:spacing w:line="300" w:lineRule="auto"/>
        <w:ind w:firstLine="640" w:firstLineChars="200"/>
      </w:pPr>
      <w:r>
        <w:rPr>
          <w:rFonts w:hint="eastAsia"/>
        </w:rPr>
        <w:t>污水处理费征收具体管理办法由市人民政府另行规定。</w:t>
      </w:r>
    </w:p>
    <w:p>
      <w:pPr>
        <w:shd w:val="clear" w:color="auto" w:fill="FFFFFF"/>
        <w:adjustRightInd w:val="0"/>
        <w:snapToGrid w:val="0"/>
        <w:spacing w:line="300" w:lineRule="auto"/>
        <w:ind w:firstLine="640" w:firstLineChars="200"/>
        <w:rPr>
          <w:rFonts w:ascii="仿宋_GB2312"/>
          <w:kern w:val="0"/>
          <w:shd w:val="clear" w:color="auto" w:fill="FFFFFF"/>
        </w:rPr>
      </w:pPr>
    </w:p>
    <w:p>
      <w:pPr>
        <w:shd w:val="clear" w:color="auto" w:fill="FFFFFF"/>
        <w:adjustRightInd w:val="0"/>
        <w:snapToGrid w:val="0"/>
        <w:spacing w:line="300" w:lineRule="auto"/>
        <w:jc w:val="center"/>
        <w:rPr>
          <w:rFonts w:ascii="黑体" w:hAnsi="黑体" w:eastAsia="黑体" w:cs="黑体"/>
          <w:kern w:val="0"/>
          <w:shd w:val="clear" w:color="auto" w:fill="FFFFFF"/>
        </w:rPr>
      </w:pPr>
      <w:r>
        <w:rPr>
          <w:rFonts w:hint="eastAsia" w:ascii="黑体" w:hAnsi="黑体" w:eastAsia="黑体" w:cs="黑体"/>
          <w:kern w:val="0"/>
          <w:shd w:val="clear" w:color="auto" w:fill="FFFFFF"/>
        </w:rPr>
        <w:t>第四章 设施维护与保护</w:t>
      </w:r>
    </w:p>
    <w:p>
      <w:pPr>
        <w:suppressAutoHyphens/>
        <w:spacing w:line="300" w:lineRule="auto"/>
        <w:ind w:firstLine="640" w:firstLineChars="200"/>
      </w:pPr>
    </w:p>
    <w:p>
      <w:pPr>
        <w:suppressAutoHyphens/>
        <w:spacing w:line="300" w:lineRule="auto"/>
        <w:ind w:firstLine="640" w:firstLineChars="200"/>
      </w:pPr>
      <w:r>
        <w:rPr>
          <w:rFonts w:hint="eastAsia" w:eastAsia="黑体"/>
        </w:rPr>
        <w:t>第二十九条</w:t>
      </w:r>
      <w:r>
        <w:rPr>
          <w:rFonts w:hint="eastAsia"/>
        </w:rPr>
        <w:t xml:space="preserve">  排水与污水处理设施按照下列规定确定维护管理责任：</w:t>
      </w:r>
    </w:p>
    <w:p>
      <w:pPr>
        <w:suppressAutoHyphens/>
        <w:spacing w:line="300" w:lineRule="auto"/>
        <w:ind w:firstLine="640" w:firstLineChars="200"/>
      </w:pPr>
      <w:r>
        <w:rPr>
          <w:rFonts w:hint="eastAsia"/>
        </w:rPr>
        <w:t>（一）城镇排水与污水处理设施依法交由专业单位维护运营的，由维护运营单位负责；未交由专业单位维护运营的，由产权人或者经营管理单位负责；</w:t>
      </w:r>
    </w:p>
    <w:p>
      <w:pPr>
        <w:suppressAutoHyphens/>
        <w:spacing w:line="300" w:lineRule="auto"/>
        <w:ind w:firstLine="640" w:firstLineChars="200"/>
      </w:pPr>
      <w:r>
        <w:rPr>
          <w:rFonts w:hint="eastAsia"/>
        </w:rPr>
        <w:t>（二）自用排水与污水处理设施及其至城镇排水设施连接点范围内的排水设施，由产权人或者经营管理单位负责；产权人、经营管理单位委托物业服务企业或者专业单位维护运营的，由物业服务企业或者专业单位负责；</w:t>
      </w:r>
    </w:p>
    <w:p>
      <w:pPr>
        <w:suppressAutoHyphens/>
        <w:spacing w:line="300" w:lineRule="auto"/>
        <w:ind w:firstLine="640" w:firstLineChars="200"/>
      </w:pPr>
      <w:r>
        <w:rPr>
          <w:rFonts w:hint="eastAsia"/>
        </w:rPr>
        <w:t>（三）产权不清晰、跨区域或者难以确定维护管理责任的排水与污水处理设施，由城镇排水主管部门会同所在镇人民政府或者街道办事处确定的维护运营单位负责。</w:t>
      </w:r>
    </w:p>
    <w:p>
      <w:pPr>
        <w:suppressAutoHyphens/>
        <w:spacing w:line="300" w:lineRule="auto"/>
        <w:ind w:firstLine="640" w:firstLineChars="200"/>
      </w:pPr>
      <w:r>
        <w:rPr>
          <w:rFonts w:hint="eastAsia"/>
        </w:rPr>
        <w:t>排水与污水处理设施验收合格移交前，由建设单位负责维护管理；建设单位被撤销、注销的，由建设单位主管部门确定的单位负责维护管理。</w:t>
      </w:r>
    </w:p>
    <w:p>
      <w:pPr>
        <w:suppressAutoHyphens/>
        <w:spacing w:line="300" w:lineRule="auto"/>
        <w:ind w:firstLine="640" w:firstLineChars="200"/>
      </w:pPr>
      <w:r>
        <w:rPr>
          <w:rFonts w:hint="eastAsia" w:eastAsia="黑体"/>
        </w:rPr>
        <w:t>第三十条</w:t>
      </w:r>
      <w:r>
        <w:rPr>
          <w:rFonts w:hint="eastAsia"/>
        </w:rPr>
        <w:t xml:space="preserve">  城镇排水与污水处理设施维护运营单位应当制定突发事件应急预案并报送所在区（县）城镇排水主管部门备案，成立应急救援队伍，配备救援器材设备，定期组织演练和培训。</w:t>
      </w:r>
    </w:p>
    <w:p>
      <w:pPr>
        <w:suppressAutoHyphens/>
        <w:spacing w:line="300" w:lineRule="auto"/>
        <w:ind w:firstLine="640" w:firstLineChars="200"/>
      </w:pPr>
      <w:r>
        <w:rPr>
          <w:rFonts w:hint="eastAsia"/>
        </w:rPr>
        <w:t>城镇排水与污水处理设施发生安全事故或者其他突发事件的，维护运营单位应当立即启动应急预案，采取防护措施和组织抢险抢修，并向城镇排水主管部门和生态环境部门报告；造成或者可能造成水污染事故的，应当采取隔离等应急措施，防止水污染物进入水体。</w:t>
      </w:r>
    </w:p>
    <w:p>
      <w:pPr>
        <w:suppressAutoHyphens/>
        <w:spacing w:line="300" w:lineRule="auto"/>
        <w:ind w:firstLine="640" w:firstLineChars="200"/>
      </w:pPr>
      <w:r>
        <w:rPr>
          <w:rFonts w:hint="eastAsia"/>
        </w:rPr>
        <w:t>维护运营单位组织抢险抢修时，有关单位和个人应当予以配合，不得阻挠。</w:t>
      </w:r>
    </w:p>
    <w:p>
      <w:pPr>
        <w:suppressAutoHyphens/>
        <w:spacing w:line="300" w:lineRule="auto"/>
        <w:ind w:firstLine="640" w:firstLineChars="200"/>
      </w:pPr>
      <w:r>
        <w:rPr>
          <w:rFonts w:hint="eastAsia"/>
        </w:rPr>
        <w:t>未交由专业单位维护运营的城镇排水与污水处理设施的安全事故或者其他突发事件的应急处置工作，由产权人或者经营管理单位参照前三款的规定执行。</w:t>
      </w:r>
    </w:p>
    <w:p>
      <w:pPr>
        <w:suppressAutoHyphens/>
        <w:spacing w:line="300" w:lineRule="auto"/>
        <w:ind w:firstLine="640" w:firstLineChars="200"/>
      </w:pPr>
      <w:r>
        <w:rPr>
          <w:rFonts w:hint="eastAsia" w:eastAsia="黑体"/>
        </w:rPr>
        <w:t>第三十一条</w:t>
      </w:r>
      <w:r>
        <w:rPr>
          <w:rFonts w:hint="eastAsia"/>
        </w:rPr>
        <w:t xml:space="preserve">  城镇排水设施维护运营单位应当履行下列维护管理责任：</w:t>
      </w:r>
    </w:p>
    <w:p>
      <w:pPr>
        <w:suppressAutoHyphens/>
        <w:spacing w:line="300" w:lineRule="auto"/>
        <w:ind w:firstLine="640" w:firstLineChars="200"/>
      </w:pPr>
      <w:r>
        <w:rPr>
          <w:rFonts w:hint="eastAsia"/>
        </w:rPr>
        <w:t>（一）建立巡查、检修等维护管理制度，配备相应的维护运营人员、设备和场地；</w:t>
      </w:r>
    </w:p>
    <w:p>
      <w:pPr>
        <w:suppressAutoHyphens/>
        <w:spacing w:line="300" w:lineRule="auto"/>
        <w:ind w:firstLine="640" w:firstLineChars="200"/>
      </w:pPr>
      <w:r>
        <w:rPr>
          <w:rFonts w:hint="eastAsia"/>
        </w:rPr>
        <w:t>（二）向社会公开投诉举报电话及有关维护管理信息，及时处理社会公众的投诉；</w:t>
      </w:r>
    </w:p>
    <w:p>
      <w:pPr>
        <w:suppressAutoHyphens/>
        <w:spacing w:line="300" w:lineRule="auto"/>
        <w:ind w:firstLine="640" w:firstLineChars="200"/>
      </w:pPr>
      <w:r>
        <w:rPr>
          <w:rFonts w:hint="eastAsia"/>
        </w:rPr>
        <w:t>（三）发现有违法接驳、违法排水或者其他违反本条例规定行为的，及时劝阻并向城镇排水主管部门报告，协助城镇排水主管部门督促整改；</w:t>
      </w:r>
    </w:p>
    <w:p>
      <w:pPr>
        <w:suppressAutoHyphens/>
        <w:spacing w:line="300" w:lineRule="auto"/>
        <w:ind w:firstLine="640" w:firstLineChars="200"/>
      </w:pPr>
      <w:r>
        <w:rPr>
          <w:rFonts w:hint="eastAsia"/>
        </w:rPr>
        <w:t>（四）在汛前和汛期，加强对城市广场、立交桥、隧道、涵洞、低洼地等易涝区域排水设施的巡查；</w:t>
      </w:r>
    </w:p>
    <w:p>
      <w:pPr>
        <w:suppressAutoHyphens/>
        <w:spacing w:line="300" w:lineRule="auto"/>
        <w:ind w:firstLine="640" w:firstLineChars="200"/>
      </w:pPr>
      <w:r>
        <w:rPr>
          <w:rFonts w:hint="eastAsia"/>
        </w:rPr>
        <w:t>（五）配合城镇排水主管部门实施内涝治理应急抢险，在暴雨预警信号发布时，落实相关部门的调度要求，开展内涝应急抢险工作；</w:t>
      </w:r>
    </w:p>
    <w:p>
      <w:pPr>
        <w:suppressAutoHyphens/>
        <w:spacing w:line="300" w:lineRule="auto"/>
        <w:ind w:firstLine="640" w:firstLineChars="200"/>
      </w:pPr>
      <w:r>
        <w:rPr>
          <w:rFonts w:hint="eastAsia"/>
        </w:rPr>
        <w:t>（六）按照有关技术标准和规范对排水设施进行巡查、养护、维修、改造，增加对城市广场、立交桥、隧道、涵洞、低洼地等易涝区域排水设施的清疏频次；发现管道堵塞、污水外溢、设施损坏或者丢失等安全隐患的，立即采取措施予以排除，保障设施安全运行；造成严重影响的，及时向城镇排水主管部门报告。</w:t>
      </w:r>
    </w:p>
    <w:p>
      <w:pPr>
        <w:suppressAutoHyphens/>
        <w:spacing w:line="300" w:lineRule="auto"/>
        <w:ind w:firstLine="640" w:firstLineChars="200"/>
      </w:pPr>
      <w:r>
        <w:rPr>
          <w:rFonts w:hint="eastAsia" w:eastAsia="黑体"/>
        </w:rPr>
        <w:t>第三十二条</w:t>
      </w:r>
      <w:r>
        <w:rPr>
          <w:rFonts w:hint="eastAsia"/>
        </w:rPr>
        <w:t xml:space="preserve">  自用排水设施维护运营单位应当履行下列维护管理责任：</w:t>
      </w:r>
    </w:p>
    <w:p>
      <w:pPr>
        <w:suppressAutoHyphens/>
        <w:spacing w:line="300" w:lineRule="auto"/>
        <w:ind w:firstLine="640" w:firstLineChars="200"/>
      </w:pPr>
      <w:r>
        <w:rPr>
          <w:rFonts w:hint="eastAsia"/>
        </w:rPr>
        <w:t>（一）按照有关技术标准和规范对排水设施及其连接城镇排水设施的接驳管进行巡查、养护、维修、改造；发现管道堵塞、污水外溢、设施损坏或者丢失等安全隐患的，立即采取措施予以排除，保障排水设施安全运行；造成严重影响的，及时向城镇排水主管部门报告；</w:t>
      </w:r>
    </w:p>
    <w:p>
      <w:pPr>
        <w:suppressAutoHyphens/>
        <w:spacing w:line="300" w:lineRule="auto"/>
        <w:ind w:firstLine="640" w:firstLineChars="200"/>
      </w:pPr>
      <w:r>
        <w:rPr>
          <w:rFonts w:hint="eastAsia"/>
        </w:rPr>
        <w:t>（二）在暴雨预警信号发布时，开展内涝应急抢险工作，服从有关部门的指挥调度；</w:t>
      </w:r>
    </w:p>
    <w:p>
      <w:pPr>
        <w:suppressAutoHyphens/>
        <w:spacing w:line="300" w:lineRule="auto"/>
        <w:ind w:firstLine="640" w:firstLineChars="200"/>
      </w:pPr>
      <w:r>
        <w:rPr>
          <w:rFonts w:hint="eastAsia"/>
        </w:rPr>
        <w:t>（三）在汛前和汛期，增加对排水设施的检查、清疏频次；</w:t>
      </w:r>
    </w:p>
    <w:p>
      <w:pPr>
        <w:suppressAutoHyphens/>
        <w:spacing w:line="300" w:lineRule="auto"/>
        <w:ind w:firstLine="640" w:firstLineChars="200"/>
      </w:pPr>
      <w:r>
        <w:rPr>
          <w:rFonts w:hint="eastAsia"/>
        </w:rPr>
        <w:t>（四）按照规定使用雨水径流控制设施，不得将雨水径流控制设施挪作他用；</w:t>
      </w:r>
    </w:p>
    <w:p>
      <w:pPr>
        <w:suppressAutoHyphens/>
        <w:spacing w:line="300" w:lineRule="auto"/>
        <w:ind w:firstLine="640" w:firstLineChars="200"/>
      </w:pPr>
      <w:r>
        <w:rPr>
          <w:rFonts w:hint="eastAsia"/>
        </w:rPr>
        <w:t>（五）发现有违法接驳、违法排水或者其他违反本条例规定行为的，及时劝阻并向城镇排水主管部门报告，协助城镇排水主管部门督促整改。</w:t>
      </w:r>
    </w:p>
    <w:p>
      <w:pPr>
        <w:suppressAutoHyphens/>
        <w:spacing w:line="300" w:lineRule="auto"/>
        <w:ind w:firstLine="640" w:firstLineChars="200"/>
      </w:pPr>
      <w:r>
        <w:rPr>
          <w:rFonts w:hint="eastAsia" w:eastAsia="黑体"/>
        </w:rPr>
        <w:t>第三十三条</w:t>
      </w:r>
      <w:r>
        <w:rPr>
          <w:rFonts w:hint="eastAsia"/>
        </w:rPr>
        <w:t xml:space="preserve">  城镇排水与污水处理设施按照下列规定确定保护范围：</w:t>
      </w:r>
    </w:p>
    <w:p>
      <w:pPr>
        <w:suppressAutoHyphens/>
        <w:spacing w:line="300" w:lineRule="auto"/>
        <w:ind w:firstLine="640" w:firstLineChars="200"/>
      </w:pPr>
      <w:r>
        <w:rPr>
          <w:rFonts w:hint="eastAsia"/>
        </w:rPr>
        <w:t>（一）直径或者宽度一千毫米以上的排水管道边缘向外延伸五米；</w:t>
      </w:r>
    </w:p>
    <w:p>
      <w:pPr>
        <w:suppressAutoHyphens/>
        <w:spacing w:line="300" w:lineRule="auto"/>
        <w:ind w:firstLine="640" w:firstLineChars="200"/>
      </w:pPr>
      <w:r>
        <w:rPr>
          <w:rFonts w:hint="eastAsia"/>
        </w:rPr>
        <w:t>（二）直径或者宽度六百毫米以上，不足一千毫米的排水管道边缘向外延伸三米；</w:t>
      </w:r>
    </w:p>
    <w:p>
      <w:pPr>
        <w:suppressAutoHyphens/>
        <w:spacing w:line="300" w:lineRule="auto"/>
        <w:ind w:firstLine="640" w:firstLineChars="200"/>
      </w:pPr>
      <w:r>
        <w:rPr>
          <w:rFonts w:hint="eastAsia"/>
        </w:rPr>
        <w:t>（三）直径或者宽度不足六百毫米的排水管道边缘向外延伸一米；</w:t>
      </w:r>
    </w:p>
    <w:p>
      <w:pPr>
        <w:suppressAutoHyphens/>
        <w:spacing w:line="300" w:lineRule="auto"/>
        <w:ind w:firstLine="640" w:firstLineChars="200"/>
      </w:pPr>
      <w:r>
        <w:rPr>
          <w:rFonts w:hint="eastAsia"/>
        </w:rPr>
        <w:t>（四）排水渠护坡两侧、渠箱向外延伸三米；</w:t>
      </w:r>
    </w:p>
    <w:p>
      <w:pPr>
        <w:suppressAutoHyphens/>
        <w:spacing w:line="300" w:lineRule="auto"/>
        <w:ind w:firstLine="640" w:firstLineChars="200"/>
      </w:pPr>
      <w:r>
        <w:rPr>
          <w:rFonts w:hint="eastAsia"/>
        </w:rPr>
        <w:t>（五）窨井、泵站、污水处理设施、雨水和再生水利用设施规划红线内的区域。</w:t>
      </w:r>
    </w:p>
    <w:p>
      <w:pPr>
        <w:suppressAutoHyphens/>
        <w:spacing w:line="300" w:lineRule="auto"/>
        <w:ind w:firstLine="640" w:firstLineChars="200"/>
      </w:pPr>
      <w:r>
        <w:rPr>
          <w:rFonts w:hint="eastAsia" w:eastAsia="黑体"/>
        </w:rPr>
        <w:t>第三十四条</w:t>
      </w:r>
      <w:r>
        <w:rPr>
          <w:rFonts w:hint="eastAsia"/>
        </w:rPr>
        <w:t xml:space="preserve">  在城镇排水与污水处理设施保护范围内，从事取土、挖掘、砍伐、立杆、爆破、打桩、顶进、注浆、埋设管道等可能影响设施安全活动的，建设单位应当与施工单位、维护运营单位共同制定设施保护方案，施工单位应当按照设施保护方案采取相应的安全防护措施。</w:t>
      </w:r>
    </w:p>
    <w:p>
      <w:pPr>
        <w:suppressAutoHyphens/>
        <w:spacing w:line="300" w:lineRule="auto"/>
        <w:ind w:firstLine="640" w:firstLineChars="200"/>
      </w:pPr>
      <w:r>
        <w:rPr>
          <w:rFonts w:hint="eastAsia"/>
        </w:rPr>
        <w:t>在直径六百毫米以上的排水管道、污水输送干线管道、泵站、污水处理设施保护范围内从事前款规定活动的，建设单位应当在作业前向城镇排水主管部门报送设施保护方案。</w:t>
      </w:r>
    </w:p>
    <w:p>
      <w:pPr>
        <w:suppressAutoHyphens/>
        <w:spacing w:line="300" w:lineRule="auto"/>
        <w:ind w:firstLine="640" w:firstLineChars="200"/>
      </w:pPr>
      <w:r>
        <w:rPr>
          <w:rFonts w:hint="eastAsia" w:eastAsia="黑体"/>
        </w:rPr>
        <w:t>第三十五条</w:t>
      </w:r>
      <w:r>
        <w:rPr>
          <w:rFonts w:hint="eastAsia"/>
        </w:rPr>
        <w:t xml:space="preserve">  因工程建设需要拆除、改动城镇排水与污水处理设施的，建设单位应当与设施维护运营单位制定实施方案，报城镇排水主管部门审核，并承担重建、改建和采取临时措施的费用。</w:t>
      </w:r>
    </w:p>
    <w:p>
      <w:pPr>
        <w:suppressAutoHyphens/>
        <w:spacing w:line="300" w:lineRule="auto"/>
        <w:ind w:firstLine="640" w:firstLineChars="200"/>
      </w:pPr>
      <w:r>
        <w:rPr>
          <w:rFonts w:hint="eastAsia"/>
        </w:rPr>
        <w:t>施工单位应当按照审核通过的实施方案施工，采取相应的应急排涝和安全防护措施，完工后恢复原状。</w:t>
      </w:r>
    </w:p>
    <w:p>
      <w:pPr>
        <w:suppressAutoHyphens/>
        <w:spacing w:line="300" w:lineRule="auto"/>
        <w:ind w:firstLine="640" w:firstLineChars="200"/>
      </w:pPr>
      <w:r>
        <w:rPr>
          <w:rFonts w:hint="eastAsia" w:eastAsia="黑体"/>
        </w:rPr>
        <w:t>第三十六条</w:t>
      </w:r>
      <w:r>
        <w:rPr>
          <w:rFonts w:hint="eastAsia"/>
        </w:rPr>
        <w:t xml:space="preserve">  禁止下列危及排水与污水处理设施安全的行为：</w:t>
      </w:r>
    </w:p>
    <w:p>
      <w:pPr>
        <w:suppressAutoHyphens/>
        <w:spacing w:line="300" w:lineRule="auto"/>
        <w:ind w:firstLine="640" w:firstLineChars="200"/>
      </w:pPr>
      <w:r>
        <w:rPr>
          <w:rFonts w:hint="eastAsia"/>
        </w:rPr>
        <w:t>（一）向排水与污水处理设施排放或者倾倒腐蚀性、放射性、易燃易爆等有毒有害物质和气体；</w:t>
      </w:r>
    </w:p>
    <w:p>
      <w:pPr>
        <w:suppressAutoHyphens/>
        <w:spacing w:line="300" w:lineRule="auto"/>
        <w:ind w:firstLine="640" w:firstLineChars="200"/>
      </w:pPr>
      <w:r>
        <w:rPr>
          <w:rFonts w:hint="eastAsia"/>
        </w:rPr>
        <w:t>（二）向排水与污水处理设施倾倒垃圾、渣土、油脂、污泥等易堵塞物；</w:t>
      </w:r>
    </w:p>
    <w:p>
      <w:pPr>
        <w:suppressAutoHyphens/>
        <w:spacing w:line="300" w:lineRule="auto"/>
        <w:ind w:firstLine="640" w:firstLineChars="200"/>
      </w:pPr>
      <w:r>
        <w:rPr>
          <w:rFonts w:hint="eastAsia"/>
        </w:rPr>
        <w:t>（三）未采取消能措施，向排水与污水处理设施直接加压排放污水；</w:t>
      </w:r>
    </w:p>
    <w:p>
      <w:pPr>
        <w:suppressAutoHyphens/>
        <w:spacing w:line="300" w:lineRule="auto"/>
        <w:ind w:firstLine="640" w:firstLineChars="200"/>
      </w:pPr>
      <w:r>
        <w:rPr>
          <w:rFonts w:hint="eastAsia"/>
        </w:rPr>
        <w:t>（四）在雨水行泄通道内设障；</w:t>
      </w:r>
    </w:p>
    <w:p>
      <w:pPr>
        <w:suppressAutoHyphens/>
        <w:spacing w:line="300" w:lineRule="auto"/>
        <w:ind w:firstLine="640" w:firstLineChars="200"/>
      </w:pPr>
      <w:r>
        <w:rPr>
          <w:rFonts w:hint="eastAsia"/>
        </w:rPr>
        <w:t>（五）占压、填埋、穿凿、堵塞排水与污水处理设施；</w:t>
      </w:r>
    </w:p>
    <w:p>
      <w:pPr>
        <w:suppressAutoHyphens/>
        <w:spacing w:line="300" w:lineRule="auto"/>
        <w:ind w:firstLine="640" w:firstLineChars="200"/>
      </w:pPr>
      <w:r>
        <w:rPr>
          <w:rFonts w:hint="eastAsia"/>
        </w:rPr>
        <w:t>（六）法律法规规定的其他危及排水与污水处理设施安全的行为。</w:t>
      </w:r>
    </w:p>
    <w:p>
      <w:pPr>
        <w:suppressAutoHyphens/>
        <w:spacing w:line="300" w:lineRule="auto"/>
        <w:ind w:firstLine="640" w:firstLineChars="200"/>
      </w:pPr>
      <w:r>
        <w:rPr>
          <w:rFonts w:hint="eastAsia" w:eastAsia="黑体"/>
        </w:rPr>
        <w:t>第三十七条</w:t>
      </w:r>
      <w:r>
        <w:rPr>
          <w:rFonts w:hint="eastAsia"/>
        </w:rPr>
        <w:t xml:space="preserve">  经城镇排水主管部门认定应当废弃的排水设施，由设施维护运营单位或者建设单位按期拆除，无法拆除的，应当采取封填、灌浆等安全处置措施，并将排水设施的埋深、管径、平面位置图等相关资料报送城镇排水主管部门。</w:t>
      </w:r>
    </w:p>
    <w:p>
      <w:pPr>
        <w:shd w:val="clear" w:color="auto" w:fill="FFFFFF"/>
        <w:adjustRightInd w:val="0"/>
        <w:snapToGrid w:val="0"/>
        <w:spacing w:line="300" w:lineRule="auto"/>
        <w:ind w:firstLine="640" w:firstLineChars="200"/>
        <w:rPr>
          <w:rFonts w:ascii="仿宋_GB2312"/>
          <w:kern w:val="0"/>
          <w:shd w:val="clear" w:color="auto" w:fill="FFFFFF"/>
        </w:rPr>
      </w:pPr>
    </w:p>
    <w:p>
      <w:pPr>
        <w:shd w:val="clear" w:color="auto" w:fill="FFFFFF"/>
        <w:adjustRightInd w:val="0"/>
        <w:snapToGrid w:val="0"/>
        <w:spacing w:line="300" w:lineRule="auto"/>
        <w:jc w:val="center"/>
        <w:rPr>
          <w:rFonts w:ascii="仿宋_GB2312"/>
          <w:kern w:val="0"/>
          <w:shd w:val="clear" w:color="auto" w:fill="FFFFFF"/>
        </w:rPr>
      </w:pPr>
      <w:r>
        <w:rPr>
          <w:rFonts w:hint="eastAsia" w:ascii="黑体" w:hAnsi="黑体" w:eastAsia="黑体" w:cs="黑体"/>
          <w:kern w:val="0"/>
          <w:shd w:val="clear" w:color="auto" w:fill="FFFFFF"/>
        </w:rPr>
        <w:t>第五章 法律责任</w:t>
      </w:r>
    </w:p>
    <w:p>
      <w:pPr>
        <w:shd w:val="clear" w:color="auto" w:fill="FFFFFF"/>
        <w:adjustRightInd w:val="0"/>
        <w:snapToGrid w:val="0"/>
        <w:spacing w:line="300" w:lineRule="auto"/>
        <w:ind w:firstLine="640" w:firstLineChars="200"/>
        <w:rPr>
          <w:rFonts w:ascii="仿宋_GB2312"/>
          <w:kern w:val="0"/>
          <w:shd w:val="clear" w:color="auto" w:fill="FFFFFF"/>
        </w:rPr>
      </w:pPr>
    </w:p>
    <w:p>
      <w:pPr>
        <w:suppressAutoHyphens/>
        <w:spacing w:line="300" w:lineRule="auto"/>
        <w:ind w:firstLine="640" w:firstLineChars="200"/>
      </w:pPr>
      <w:r>
        <w:rPr>
          <w:rFonts w:hint="eastAsia" w:eastAsia="黑体"/>
        </w:rPr>
        <w:t>第三十八条</w:t>
      </w:r>
      <w:r>
        <w:rPr>
          <w:rFonts w:hint="eastAsia"/>
        </w:rPr>
        <w:t xml:space="preserve">  违反本条例第十四条、第十五条规定的，由城镇排水主管部门按照以下规定处理：</w:t>
      </w:r>
    </w:p>
    <w:p>
      <w:pPr>
        <w:suppressAutoHyphens/>
        <w:spacing w:line="300" w:lineRule="auto"/>
        <w:ind w:firstLine="640" w:firstLineChars="200"/>
      </w:pPr>
      <w:r>
        <w:rPr>
          <w:rFonts w:hint="eastAsia"/>
        </w:rPr>
        <w:t>（一）未按照规定组织竣工验收，或者竣工验收不合格而交付使用，或者未进行管网内窥检测的，责令限期改正；逾期不改正或者造成严重后果的，处五万元以上二十万元以下罚款；</w:t>
      </w:r>
    </w:p>
    <w:p>
      <w:pPr>
        <w:suppressAutoHyphens/>
        <w:spacing w:line="300" w:lineRule="auto"/>
        <w:ind w:firstLine="640" w:firstLineChars="200"/>
      </w:pPr>
      <w:r>
        <w:rPr>
          <w:rFonts w:hint="eastAsia"/>
        </w:rPr>
        <w:t>（二）未按照规定办理备案手续的，责令限期改正；逾期不改正的，处两万元以上五万元以下罚款。</w:t>
      </w:r>
    </w:p>
    <w:p>
      <w:pPr>
        <w:suppressAutoHyphens/>
        <w:spacing w:line="300" w:lineRule="auto"/>
        <w:ind w:firstLine="640" w:firstLineChars="200"/>
      </w:pPr>
      <w:r>
        <w:rPr>
          <w:rFonts w:hint="eastAsia" w:eastAsia="黑体"/>
        </w:rPr>
        <w:t xml:space="preserve">第三十九条 </w:t>
      </w:r>
      <w:r>
        <w:rPr>
          <w:rFonts w:hint="eastAsia"/>
        </w:rPr>
        <w:t xml:space="preserve"> 违反本条例第十八条第二款规定，未向城镇排水主管部门办理备案手续的，由城镇排水主管部门责令限期改正；逾期不改正的，处五千元以上三万元以下罚款。</w:t>
      </w:r>
    </w:p>
    <w:p>
      <w:pPr>
        <w:suppressAutoHyphens/>
        <w:spacing w:line="300" w:lineRule="auto"/>
        <w:ind w:firstLine="640" w:firstLineChars="200"/>
      </w:pPr>
      <w:r>
        <w:rPr>
          <w:rFonts w:hint="eastAsia" w:eastAsia="黑体"/>
        </w:rPr>
        <w:t>第四十条</w:t>
      </w:r>
      <w:r>
        <w:rPr>
          <w:rFonts w:hint="eastAsia"/>
        </w:rPr>
        <w:t xml:space="preserve">  违反本条例第二十条规定，未建设排水预处理设施或者未保障排水预处理设施正常运行的，由城镇排水主管部门责令限期改正；逾期不改正或者造成严重后果的，对单位处三万元以上十万元以下罚款，对个人处一万元以上五万元以下罚款。</w:t>
      </w:r>
    </w:p>
    <w:p>
      <w:pPr>
        <w:suppressAutoHyphens/>
        <w:spacing w:line="300" w:lineRule="auto"/>
        <w:ind w:firstLine="640" w:firstLineChars="200"/>
      </w:pPr>
      <w:r>
        <w:rPr>
          <w:rFonts w:hint="eastAsia" w:eastAsia="黑体"/>
        </w:rPr>
        <w:t>第四十一条</w:t>
      </w:r>
      <w:r>
        <w:rPr>
          <w:rFonts w:hint="eastAsia"/>
        </w:rPr>
        <w:t xml:space="preserve">  违反本条例第二十七条规定有以下情形之一的，由城镇排水主管部门责令限期改正，给予警告；逾期不改正或者造成严重后果的，处三万元以上十万元以下罚款：</w:t>
      </w:r>
    </w:p>
    <w:p>
      <w:pPr>
        <w:suppressAutoHyphens/>
        <w:spacing w:line="300" w:lineRule="auto"/>
        <w:ind w:firstLine="640" w:firstLineChars="200"/>
      </w:pPr>
      <w:r>
        <w:rPr>
          <w:rFonts w:hint="eastAsia"/>
        </w:rPr>
        <w:t>（一）污泥运输单位未建立规范的污泥管理台账制度和污泥转运联单制度，对污泥去向、用途、用量等进行跟踪、记录，并向城镇排水主管部门和生态环境部门报告，或者未对污泥运输车辆、船只采取密闭措施防止渗漏和遗撒，以及设置统一标识和配备定位设备的；</w:t>
      </w:r>
    </w:p>
    <w:p>
      <w:pPr>
        <w:suppressAutoHyphens/>
        <w:spacing w:line="300" w:lineRule="auto"/>
        <w:ind w:firstLine="640" w:firstLineChars="200"/>
      </w:pPr>
      <w:r>
        <w:rPr>
          <w:rFonts w:hint="eastAsia"/>
        </w:rPr>
        <w:t>（二）城镇排水设施维护运营单位未按规定将城镇排水设施清淤产生的污泥委托具有相应资质的单位集中处置的。</w:t>
      </w:r>
    </w:p>
    <w:p>
      <w:pPr>
        <w:suppressAutoHyphens/>
        <w:spacing w:line="300" w:lineRule="auto"/>
        <w:ind w:firstLine="640" w:firstLineChars="200"/>
      </w:pPr>
      <w:r>
        <w:rPr>
          <w:rFonts w:hint="eastAsia" w:eastAsia="黑体"/>
        </w:rPr>
        <w:t>第四十二条</w:t>
      </w:r>
      <w:r>
        <w:rPr>
          <w:rFonts w:hint="eastAsia"/>
        </w:rPr>
        <w:t xml:space="preserve">  违反本条例规定未履行排水设施维护管理责任的，由城镇排水主管部门按照以下规定处理：</w:t>
      </w:r>
    </w:p>
    <w:p>
      <w:pPr>
        <w:suppressAutoHyphens/>
        <w:spacing w:line="300" w:lineRule="auto"/>
        <w:ind w:firstLine="640" w:firstLineChars="200"/>
      </w:pPr>
      <w:r>
        <w:rPr>
          <w:rFonts w:hint="eastAsia"/>
        </w:rPr>
        <w:t>（一）违反本条例第三十一条第一项至第四项、第三十二条第三项至第五项规定的，责令限期改正，给予警告；逾期不改正或者情节严重的，处五万元以上十万元以下罚款；造成严重后果的，处十万元以上五十万元以下罚款；</w:t>
      </w:r>
    </w:p>
    <w:p>
      <w:pPr>
        <w:suppressAutoHyphens/>
        <w:spacing w:line="300" w:lineRule="auto"/>
        <w:ind w:firstLine="640" w:firstLineChars="200"/>
      </w:pPr>
      <w:r>
        <w:rPr>
          <w:rFonts w:hint="eastAsia"/>
        </w:rPr>
        <w:t>（二）违反本条例第三十一条第五项和第六项、第三十二条第一项和第二项规定的，责令限期改正，给予警告;逾期不改正或者造成严重后果的，处十万元以上五十万元以下罚款。</w:t>
      </w:r>
    </w:p>
    <w:p>
      <w:pPr>
        <w:suppressAutoHyphens/>
        <w:spacing w:line="300" w:lineRule="auto"/>
        <w:ind w:firstLine="640" w:firstLineChars="200"/>
      </w:pPr>
      <w:r>
        <w:rPr>
          <w:rFonts w:hint="eastAsia" w:eastAsia="黑体"/>
        </w:rPr>
        <w:t>第四十三条</w:t>
      </w:r>
      <w:r>
        <w:rPr>
          <w:rFonts w:hint="eastAsia"/>
        </w:rPr>
        <w:t xml:space="preserve">  违反本条例第三十六条规定，实施危及排水与污水处理设施安全的行为的，由城镇排水主管部门责令限期改正，给予警告；逾期不改正或者造成严重后果的，对单位处十万元以上三十万元以下的罚款，对个人处两万元以上十万元以下的罚款；造成损失的，依法承担赔偿责任。</w:t>
      </w:r>
    </w:p>
    <w:p>
      <w:pPr>
        <w:suppressAutoHyphens/>
        <w:spacing w:line="300" w:lineRule="auto"/>
        <w:ind w:firstLine="640" w:firstLineChars="200"/>
      </w:pPr>
      <w:r>
        <w:rPr>
          <w:rFonts w:hint="eastAsia" w:eastAsia="黑体"/>
        </w:rPr>
        <w:t>第四十四条</w:t>
      </w:r>
      <w:r>
        <w:rPr>
          <w:rFonts w:hint="eastAsia"/>
        </w:rPr>
        <w:t xml:space="preserve">  违反本条例第三十七条规定，未按要求处理废弃排水设施或者报送相关资料的，由城镇排水主管部门责令限期改正；逾期不改正或者造成严重后果的，处一万元以上五万元以下罚款。</w:t>
      </w:r>
    </w:p>
    <w:p>
      <w:pPr>
        <w:suppressAutoHyphens/>
        <w:spacing w:line="300" w:lineRule="auto"/>
        <w:jc w:val="center"/>
        <w:rPr>
          <w:rFonts w:eastAsia="黑体"/>
        </w:rPr>
      </w:pPr>
    </w:p>
    <w:p>
      <w:pPr>
        <w:suppressAutoHyphens/>
        <w:spacing w:line="300" w:lineRule="auto"/>
        <w:jc w:val="center"/>
        <w:rPr>
          <w:rFonts w:eastAsia="黑体"/>
        </w:rPr>
      </w:pPr>
      <w:r>
        <w:rPr>
          <w:rFonts w:hint="eastAsia" w:eastAsia="黑体"/>
        </w:rPr>
        <w:t>第六章 附则</w:t>
      </w:r>
    </w:p>
    <w:p>
      <w:pPr>
        <w:suppressAutoHyphens/>
        <w:spacing w:line="300" w:lineRule="auto"/>
        <w:jc w:val="center"/>
        <w:rPr>
          <w:rFonts w:eastAsia="黑体"/>
        </w:rPr>
      </w:pPr>
    </w:p>
    <w:p>
      <w:pPr>
        <w:suppressAutoHyphens/>
        <w:spacing w:line="300" w:lineRule="auto"/>
        <w:ind w:firstLine="640" w:firstLineChars="200"/>
      </w:pPr>
      <w:r>
        <w:rPr>
          <w:rFonts w:hint="eastAsia" w:eastAsia="黑体"/>
        </w:rPr>
        <w:t>第四十五条</w:t>
      </w:r>
      <w:r>
        <w:rPr>
          <w:rFonts w:hint="eastAsia"/>
        </w:rPr>
        <w:t xml:space="preserve">  本条例中下列用语的含义是：</w:t>
      </w:r>
    </w:p>
    <w:p>
      <w:pPr>
        <w:suppressAutoHyphens/>
        <w:spacing w:line="300" w:lineRule="auto"/>
        <w:ind w:firstLine="640" w:firstLineChars="200"/>
      </w:pPr>
      <w:r>
        <w:rPr>
          <w:rFonts w:hint="eastAsia"/>
        </w:rPr>
        <w:t>（一）城镇排水与污水处理设施，是指城镇范围内政府投资建设或者政府与社会资本合作建设，服务于公众，用于排放、接纳、输送雨水和污水以及处理处置污水和污泥的公共基础设施，包括城镇排水设施和城镇污水处理设施；</w:t>
      </w:r>
    </w:p>
    <w:p>
      <w:pPr>
        <w:suppressAutoHyphens/>
        <w:spacing w:line="300" w:lineRule="auto"/>
        <w:ind w:firstLine="640" w:firstLineChars="200"/>
      </w:pPr>
      <w:r>
        <w:rPr>
          <w:rFonts w:hint="eastAsia"/>
        </w:rPr>
        <w:t>（二）自用排水与污水处理设施，是指城镇范围内单位或者个人投资建设，仅服务于特定区域，用于排放、接纳、输送雨水和污水以及处理处置污水和污泥的设施，包括自用排水设施和自用污水处理设施。</w:t>
      </w:r>
    </w:p>
    <w:p>
      <w:pPr>
        <w:suppressAutoHyphens/>
        <w:spacing w:line="300" w:lineRule="auto"/>
        <w:ind w:firstLine="640" w:firstLineChars="200"/>
      </w:pPr>
      <w:r>
        <w:rPr>
          <w:rFonts w:hint="eastAsia" w:eastAsia="黑体"/>
        </w:rPr>
        <w:t>第四十六条</w:t>
      </w:r>
      <w:r>
        <w:rPr>
          <w:rFonts w:hint="eastAsia"/>
        </w:rPr>
        <w:t xml:space="preserve">  本条例自</w:t>
      </w:r>
      <w:r>
        <w:t>2023</w:t>
      </w:r>
      <w:r>
        <w:rPr>
          <w:rFonts w:hint="eastAsia"/>
        </w:rPr>
        <w:t>年8月1日起施行。</w:t>
      </w:r>
    </w:p>
    <w:p>
      <w:pPr>
        <w:spacing w:line="300" w:lineRule="auto"/>
        <w:rPr>
          <w:rFonts w:eastAsia="方正仿宋简体"/>
          <w:sz w:val="10"/>
          <w:szCs w:val="10"/>
        </w:rPr>
      </w:pPr>
    </w:p>
    <w:sectPr>
      <w:headerReference r:id="rId3" w:type="default"/>
      <w:footerReference r:id="rId4" w:type="default"/>
      <w:pgSz w:w="11906" w:h="16838"/>
      <w:pgMar w:top="2098" w:right="1474" w:bottom="1860" w:left="1587" w:header="851" w:footer="1701" w:gutter="0"/>
      <w:cols w:space="720" w:num="1"/>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仿宋简体">
    <w:altName w:val="微软雅黑"/>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rPr>
        <w:rFonts w:eastAsia="方正仿宋简体"/>
      </w:rPr>
    </w:pPr>
    <w:r>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vblAW2AQAAVQMAAA4AAABkcnMv&#10;ZTJvRG9jLnhtbK1TzWobMRC+F/IOQvdYa0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tXsIneo&#10;D7HGxKeAqWm49kNDE2zkGIroz9oHBTZ/URXBFGz37tRiOSQi0Dmdz+bzCkMCY+MFS7DX3wPEdCe9&#10;JdloKOAMS2v59ktMh9QxJVdz/lYbU+Zo3D8OxMwelukfOGYrDavhqGnl2x1K6nH8DXW4n5SYe4fd&#10;zZsyGjAaq9HYBNDrDqkpbmKeD0f4q01CIoVfrnKAPhbH2RWFxz3Ly/H3vWS9vob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BL25QFtgEAAFUDAAAOAAAAAAAAAAEAIAAAADQBAABkcnMvZTJv&#10;RG9jLnhtbFBLBQYAAAAABgAGAFkBAABcBQAAAAA=&#10;">
          <v:path/>
          <v:fill on="f" focussize="0,0"/>
          <v:stroke on="f" joinstyle="miter"/>
          <v:imagedata o:title=""/>
          <o:lock v:ext="edit"/>
          <v:textbox inset="0mm,0mm,0mm,0mm" style="mso-fit-shape-to-text:t;">
            <w:txbxContent>
              <w:p>
                <w:pPr>
                  <w:pStyle w:val="9"/>
                  <w:rPr>
                    <w:rStyle w:val="16"/>
                  </w:rPr>
                </w:pPr>
                <w:r>
                  <w:rPr>
                    <w:rStyle w:val="16"/>
                  </w:rPr>
                  <w:t xml:space="preserve">— </w:t>
                </w: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r>
                  <w:rPr>
                    <w:rStyle w:val="16"/>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rPr>
        <w:rFonts w:eastAsia="方正仿宋简体"/>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oNotHyphenateCaps/>
  <w:drawingGridHorizontalSpacing w:val="16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MxNDUyNTNkNWNiNDMxOWIzZjFiY2Q4ZWUyOWU2OTUifQ=="/>
  </w:docVars>
  <w:rsids>
    <w:rsidRoot w:val="FED777F9"/>
    <w:rsid w:val="00005B47"/>
    <w:rsid w:val="00031F71"/>
    <w:rsid w:val="000361BF"/>
    <w:rsid w:val="00047003"/>
    <w:rsid w:val="000E4F74"/>
    <w:rsid w:val="001264C3"/>
    <w:rsid w:val="0018010E"/>
    <w:rsid w:val="001C240B"/>
    <w:rsid w:val="00262486"/>
    <w:rsid w:val="00287F7C"/>
    <w:rsid w:val="002930DA"/>
    <w:rsid w:val="002C3C2A"/>
    <w:rsid w:val="002D4599"/>
    <w:rsid w:val="00316995"/>
    <w:rsid w:val="00337E5C"/>
    <w:rsid w:val="00351E1F"/>
    <w:rsid w:val="00363389"/>
    <w:rsid w:val="00370215"/>
    <w:rsid w:val="003871BA"/>
    <w:rsid w:val="00391206"/>
    <w:rsid w:val="0039142A"/>
    <w:rsid w:val="003C0797"/>
    <w:rsid w:val="004B069D"/>
    <w:rsid w:val="004C1AA7"/>
    <w:rsid w:val="0051769D"/>
    <w:rsid w:val="00542601"/>
    <w:rsid w:val="00582B28"/>
    <w:rsid w:val="005B6F0B"/>
    <w:rsid w:val="005E39C1"/>
    <w:rsid w:val="00614ED0"/>
    <w:rsid w:val="006501AD"/>
    <w:rsid w:val="006B4AD4"/>
    <w:rsid w:val="006C14F2"/>
    <w:rsid w:val="006F12B5"/>
    <w:rsid w:val="00720319"/>
    <w:rsid w:val="007B3BC2"/>
    <w:rsid w:val="0080415B"/>
    <w:rsid w:val="008059C7"/>
    <w:rsid w:val="008449E1"/>
    <w:rsid w:val="00937DAB"/>
    <w:rsid w:val="00967A07"/>
    <w:rsid w:val="00972683"/>
    <w:rsid w:val="009E123A"/>
    <w:rsid w:val="00A23034"/>
    <w:rsid w:val="00A82317"/>
    <w:rsid w:val="00A85779"/>
    <w:rsid w:val="00A96748"/>
    <w:rsid w:val="00AC2BBA"/>
    <w:rsid w:val="00B00BA2"/>
    <w:rsid w:val="00B041E2"/>
    <w:rsid w:val="00B37BED"/>
    <w:rsid w:val="00B72F40"/>
    <w:rsid w:val="00BC0AE3"/>
    <w:rsid w:val="00C420BA"/>
    <w:rsid w:val="00C56444"/>
    <w:rsid w:val="00C61569"/>
    <w:rsid w:val="00C861CC"/>
    <w:rsid w:val="00CC1DF0"/>
    <w:rsid w:val="00CF0F0A"/>
    <w:rsid w:val="00D47A8E"/>
    <w:rsid w:val="00D612E0"/>
    <w:rsid w:val="00D87212"/>
    <w:rsid w:val="00D951A2"/>
    <w:rsid w:val="00DA62B5"/>
    <w:rsid w:val="00E02628"/>
    <w:rsid w:val="00E16181"/>
    <w:rsid w:val="00E213E7"/>
    <w:rsid w:val="00E36B0F"/>
    <w:rsid w:val="00E77775"/>
    <w:rsid w:val="00F2684F"/>
    <w:rsid w:val="00F425DC"/>
    <w:rsid w:val="00F52BCF"/>
    <w:rsid w:val="00F543E6"/>
    <w:rsid w:val="00F62DB4"/>
    <w:rsid w:val="00F702EB"/>
    <w:rsid w:val="00F823DD"/>
    <w:rsid w:val="03FFBA67"/>
    <w:rsid w:val="05FB865B"/>
    <w:rsid w:val="073B3578"/>
    <w:rsid w:val="0C072A23"/>
    <w:rsid w:val="0F0529B6"/>
    <w:rsid w:val="101414DD"/>
    <w:rsid w:val="1157E170"/>
    <w:rsid w:val="13DC57C1"/>
    <w:rsid w:val="16ACC5A8"/>
    <w:rsid w:val="17FB952D"/>
    <w:rsid w:val="1FFB9DAA"/>
    <w:rsid w:val="20B86A86"/>
    <w:rsid w:val="22D743E4"/>
    <w:rsid w:val="2384286F"/>
    <w:rsid w:val="279A5F11"/>
    <w:rsid w:val="279F69F5"/>
    <w:rsid w:val="289C5FDD"/>
    <w:rsid w:val="293F7BE8"/>
    <w:rsid w:val="29EE1913"/>
    <w:rsid w:val="2DFC56D5"/>
    <w:rsid w:val="2FFDB515"/>
    <w:rsid w:val="31B66EED"/>
    <w:rsid w:val="35F7D23F"/>
    <w:rsid w:val="35FD2A47"/>
    <w:rsid w:val="37FF59CE"/>
    <w:rsid w:val="393C5D4E"/>
    <w:rsid w:val="3AFBDF7D"/>
    <w:rsid w:val="3B9FD28D"/>
    <w:rsid w:val="3BBFB053"/>
    <w:rsid w:val="3C31D9D7"/>
    <w:rsid w:val="3C9F8405"/>
    <w:rsid w:val="3CBFBA6F"/>
    <w:rsid w:val="3D185578"/>
    <w:rsid w:val="3D7F37B4"/>
    <w:rsid w:val="3E9F8DBD"/>
    <w:rsid w:val="3FBBC1C2"/>
    <w:rsid w:val="3FFF018C"/>
    <w:rsid w:val="3FFF66CB"/>
    <w:rsid w:val="41D67E71"/>
    <w:rsid w:val="437FFC9F"/>
    <w:rsid w:val="45FEA809"/>
    <w:rsid w:val="47670152"/>
    <w:rsid w:val="47690C9B"/>
    <w:rsid w:val="477F554F"/>
    <w:rsid w:val="484D758C"/>
    <w:rsid w:val="4BFC4BEA"/>
    <w:rsid w:val="4DFE1874"/>
    <w:rsid w:val="4DFF5082"/>
    <w:rsid w:val="4ECBF316"/>
    <w:rsid w:val="4F6777E8"/>
    <w:rsid w:val="534DB9F3"/>
    <w:rsid w:val="537D42F8"/>
    <w:rsid w:val="56EB3BAC"/>
    <w:rsid w:val="575F354F"/>
    <w:rsid w:val="57E79D96"/>
    <w:rsid w:val="57FFDD98"/>
    <w:rsid w:val="5A7E223A"/>
    <w:rsid w:val="5BE72C42"/>
    <w:rsid w:val="5BF96323"/>
    <w:rsid w:val="5BFBA382"/>
    <w:rsid w:val="5BFF5A73"/>
    <w:rsid w:val="5C9F328D"/>
    <w:rsid w:val="5DBA3CD5"/>
    <w:rsid w:val="5DDDE25E"/>
    <w:rsid w:val="5F8BF320"/>
    <w:rsid w:val="5FBD0DA7"/>
    <w:rsid w:val="5FBDD0E1"/>
    <w:rsid w:val="5FF69D2E"/>
    <w:rsid w:val="5FFAD1FC"/>
    <w:rsid w:val="5FFB2497"/>
    <w:rsid w:val="5FFCCC49"/>
    <w:rsid w:val="61790DD9"/>
    <w:rsid w:val="64D67E17"/>
    <w:rsid w:val="65C38F5C"/>
    <w:rsid w:val="65F37B76"/>
    <w:rsid w:val="665D484D"/>
    <w:rsid w:val="69AFE05E"/>
    <w:rsid w:val="6A3E0EBB"/>
    <w:rsid w:val="6AFEFF85"/>
    <w:rsid w:val="6B8D3CB2"/>
    <w:rsid w:val="6BEE3EA2"/>
    <w:rsid w:val="6BFCFDF8"/>
    <w:rsid w:val="6DB6BB2B"/>
    <w:rsid w:val="6DFF2815"/>
    <w:rsid w:val="6EBB3204"/>
    <w:rsid w:val="6F6B37ED"/>
    <w:rsid w:val="6F7DBC22"/>
    <w:rsid w:val="6FE7C6A2"/>
    <w:rsid w:val="73BF9334"/>
    <w:rsid w:val="73E54111"/>
    <w:rsid w:val="750E0545"/>
    <w:rsid w:val="757D1C69"/>
    <w:rsid w:val="75834658"/>
    <w:rsid w:val="75BE29A1"/>
    <w:rsid w:val="765F733B"/>
    <w:rsid w:val="7697B2C6"/>
    <w:rsid w:val="76DF15B2"/>
    <w:rsid w:val="776038C6"/>
    <w:rsid w:val="77BFD6C1"/>
    <w:rsid w:val="77FBAFFB"/>
    <w:rsid w:val="77FD07B0"/>
    <w:rsid w:val="77FF64F0"/>
    <w:rsid w:val="79FFCFF9"/>
    <w:rsid w:val="7AFE90BC"/>
    <w:rsid w:val="7B6D1C29"/>
    <w:rsid w:val="7B7FED86"/>
    <w:rsid w:val="7B8E9C7B"/>
    <w:rsid w:val="7BA7CBC2"/>
    <w:rsid w:val="7BFA272F"/>
    <w:rsid w:val="7BFEEBB9"/>
    <w:rsid w:val="7BFF97A3"/>
    <w:rsid w:val="7BFFD638"/>
    <w:rsid w:val="7C8A939A"/>
    <w:rsid w:val="7C8FB37E"/>
    <w:rsid w:val="7CFF90EE"/>
    <w:rsid w:val="7D8AE78A"/>
    <w:rsid w:val="7DA97361"/>
    <w:rsid w:val="7DDD3541"/>
    <w:rsid w:val="7DEDFCC9"/>
    <w:rsid w:val="7DF53784"/>
    <w:rsid w:val="7DF757CA"/>
    <w:rsid w:val="7EBCE7DC"/>
    <w:rsid w:val="7EC76852"/>
    <w:rsid w:val="7EF68A87"/>
    <w:rsid w:val="7EF9A5C0"/>
    <w:rsid w:val="7F39EE35"/>
    <w:rsid w:val="7F5D82AC"/>
    <w:rsid w:val="7F5E4913"/>
    <w:rsid w:val="7F7764BB"/>
    <w:rsid w:val="7F7B1782"/>
    <w:rsid w:val="7F7E4191"/>
    <w:rsid w:val="7F7EEAB4"/>
    <w:rsid w:val="7F97A616"/>
    <w:rsid w:val="7F9C12B8"/>
    <w:rsid w:val="7FB70B36"/>
    <w:rsid w:val="7FB7D138"/>
    <w:rsid w:val="7FBDCFC3"/>
    <w:rsid w:val="7FBF3501"/>
    <w:rsid w:val="7FD7F526"/>
    <w:rsid w:val="7FD92EFB"/>
    <w:rsid w:val="7FEF34B8"/>
    <w:rsid w:val="7FF3CEBC"/>
    <w:rsid w:val="7FF4CA62"/>
    <w:rsid w:val="7FF54B8A"/>
    <w:rsid w:val="7FFC5FDF"/>
    <w:rsid w:val="7FFDA9A7"/>
    <w:rsid w:val="7FFDEEDB"/>
    <w:rsid w:val="7FFF1FF1"/>
    <w:rsid w:val="7FFF435E"/>
    <w:rsid w:val="8BFF3131"/>
    <w:rsid w:val="97BF1E8B"/>
    <w:rsid w:val="9DCF2BE4"/>
    <w:rsid w:val="9E656E0B"/>
    <w:rsid w:val="9F7F2521"/>
    <w:rsid w:val="9FBA0149"/>
    <w:rsid w:val="9FFDCB3B"/>
    <w:rsid w:val="9FFF109E"/>
    <w:rsid w:val="A3DDB5A8"/>
    <w:rsid w:val="A45FAE42"/>
    <w:rsid w:val="A7FF8470"/>
    <w:rsid w:val="AC0ACE07"/>
    <w:rsid w:val="ADB76F02"/>
    <w:rsid w:val="B3F74A79"/>
    <w:rsid w:val="B5F7A11D"/>
    <w:rsid w:val="B6F41335"/>
    <w:rsid w:val="B79B95C6"/>
    <w:rsid w:val="B7AC1180"/>
    <w:rsid w:val="B8DF6790"/>
    <w:rsid w:val="BA77D731"/>
    <w:rsid w:val="BAA64627"/>
    <w:rsid w:val="BBA31875"/>
    <w:rsid w:val="BC5BB0C6"/>
    <w:rsid w:val="BDEE4C37"/>
    <w:rsid w:val="BDFF2836"/>
    <w:rsid w:val="BDFF7E25"/>
    <w:rsid w:val="BEBF4BE1"/>
    <w:rsid w:val="BEF94E31"/>
    <w:rsid w:val="BEFBEDE6"/>
    <w:rsid w:val="BFB57EF5"/>
    <w:rsid w:val="BFDB792D"/>
    <w:rsid w:val="BFDEFEDD"/>
    <w:rsid w:val="BFF65A5D"/>
    <w:rsid w:val="BFFF36D3"/>
    <w:rsid w:val="C23ED1E1"/>
    <w:rsid w:val="C7B672E6"/>
    <w:rsid w:val="CAB6812C"/>
    <w:rsid w:val="CDE3A7D8"/>
    <w:rsid w:val="CEFBED59"/>
    <w:rsid w:val="CFE69392"/>
    <w:rsid w:val="D3F5E5C8"/>
    <w:rsid w:val="D5DFFF41"/>
    <w:rsid w:val="D5FF5FEF"/>
    <w:rsid w:val="DA7DB882"/>
    <w:rsid w:val="DDBE8361"/>
    <w:rsid w:val="DDBF45E5"/>
    <w:rsid w:val="DE9FC31B"/>
    <w:rsid w:val="DFD3FB42"/>
    <w:rsid w:val="DFEF0688"/>
    <w:rsid w:val="E1EF7D3B"/>
    <w:rsid w:val="E3BDFC5E"/>
    <w:rsid w:val="E53C043C"/>
    <w:rsid w:val="E7DF20A8"/>
    <w:rsid w:val="E7E10B46"/>
    <w:rsid w:val="EAF76483"/>
    <w:rsid w:val="EB5F43DD"/>
    <w:rsid w:val="EB7F9781"/>
    <w:rsid w:val="EB968513"/>
    <w:rsid w:val="EBB7EF78"/>
    <w:rsid w:val="ED7A79F9"/>
    <w:rsid w:val="EDBF63E8"/>
    <w:rsid w:val="EDE233DF"/>
    <w:rsid w:val="EE6F335A"/>
    <w:rsid w:val="EEDF853E"/>
    <w:rsid w:val="EEFDD02C"/>
    <w:rsid w:val="EEFFBD7D"/>
    <w:rsid w:val="EF1D37C9"/>
    <w:rsid w:val="EF3DA2AE"/>
    <w:rsid w:val="EFB7019E"/>
    <w:rsid w:val="EFEF0AAA"/>
    <w:rsid w:val="EFFE810D"/>
    <w:rsid w:val="EFFFC6A1"/>
    <w:rsid w:val="F17E90BB"/>
    <w:rsid w:val="F2FFB758"/>
    <w:rsid w:val="F3BF80C8"/>
    <w:rsid w:val="F3F1A1AE"/>
    <w:rsid w:val="F4EA519C"/>
    <w:rsid w:val="F6F90C8B"/>
    <w:rsid w:val="F6FF4A95"/>
    <w:rsid w:val="F764A61F"/>
    <w:rsid w:val="F7AF913C"/>
    <w:rsid w:val="F7B3D7EC"/>
    <w:rsid w:val="F7BC0A42"/>
    <w:rsid w:val="F7BE9EA9"/>
    <w:rsid w:val="F7BFB11A"/>
    <w:rsid w:val="F7D3F706"/>
    <w:rsid w:val="F7FB70A1"/>
    <w:rsid w:val="F7FFD2B6"/>
    <w:rsid w:val="F99BE078"/>
    <w:rsid w:val="FA54292F"/>
    <w:rsid w:val="FA9B57CE"/>
    <w:rsid w:val="FAAE727C"/>
    <w:rsid w:val="FAD6B3A7"/>
    <w:rsid w:val="FADBAC04"/>
    <w:rsid w:val="FB9736A7"/>
    <w:rsid w:val="FBDE4308"/>
    <w:rsid w:val="FBDF2789"/>
    <w:rsid w:val="FBFDDC40"/>
    <w:rsid w:val="FBFE7861"/>
    <w:rsid w:val="FC97CCF7"/>
    <w:rsid w:val="FCFD29EF"/>
    <w:rsid w:val="FD47D0E7"/>
    <w:rsid w:val="FD7FE15F"/>
    <w:rsid w:val="FDACE254"/>
    <w:rsid w:val="FDCB05C7"/>
    <w:rsid w:val="FDEF11B5"/>
    <w:rsid w:val="FDFF2B2E"/>
    <w:rsid w:val="FDFF7975"/>
    <w:rsid w:val="FE7C4631"/>
    <w:rsid w:val="FECFE005"/>
    <w:rsid w:val="FED777F9"/>
    <w:rsid w:val="FEDBA7E2"/>
    <w:rsid w:val="FEDCE6D5"/>
    <w:rsid w:val="FEEB19E5"/>
    <w:rsid w:val="FEF7A45E"/>
    <w:rsid w:val="FEFEB05B"/>
    <w:rsid w:val="FF4E4F38"/>
    <w:rsid w:val="FF4F4545"/>
    <w:rsid w:val="FF6FC628"/>
    <w:rsid w:val="FF7BD086"/>
    <w:rsid w:val="FF7C61BE"/>
    <w:rsid w:val="FF7D0309"/>
    <w:rsid w:val="FF7D2FDF"/>
    <w:rsid w:val="FF7F329C"/>
    <w:rsid w:val="FF7F64F2"/>
    <w:rsid w:val="FF7F7846"/>
    <w:rsid w:val="FF7F7B1C"/>
    <w:rsid w:val="FF7F90FC"/>
    <w:rsid w:val="FF8F1C70"/>
    <w:rsid w:val="FFAFDFF3"/>
    <w:rsid w:val="FFC6A398"/>
    <w:rsid w:val="FFD61211"/>
    <w:rsid w:val="FFD62A6E"/>
    <w:rsid w:val="FFDF35B3"/>
    <w:rsid w:val="FFEF4D50"/>
    <w:rsid w:val="FFF37B69"/>
    <w:rsid w:val="FFF7DAE5"/>
    <w:rsid w:val="FFF9413A"/>
    <w:rsid w:val="FFFDA44F"/>
    <w:rsid w:val="FFFDED59"/>
    <w:rsid w:val="FFFF0084"/>
    <w:rsid w:val="FFFF278F"/>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qFormat="1" w:unhideWhenUsed="0" w:uiPriority="99" w:semiHidden="0" w:name="Body Text First Indent 2"/>
    <w:lsdException w:uiPriority="99" w:name="Note Heading" w:locked="1"/>
    <w:lsdException w:uiPriority="99" w:name="Body Text 2" w:locked="1"/>
    <w:lsdException w:uiPriority="99" w:name="Body Text 3" w:locked="1"/>
    <w:lsdException w:qFormat="1" w:unhideWhenUsed="0" w:uiPriority="99" w:semiHidden="0" w:name="Body Text Indent 2"/>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0" w:semiHidden="0" w:name="Emphasis"/>
    <w:lsdException w:uiPriority="99" w:name="Document Map" w:locked="1"/>
    <w:lsdException w:qFormat="1" w:unhideWhenUsed="0" w:uiPriority="99" w:semiHidden="0"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next w:val="1"/>
    <w:qFormat/>
    <w:uiPriority w:val="99"/>
    <w:pPr>
      <w:spacing w:before="100" w:beforeAutospacing="1" w:after="100" w:afterAutospacing="1"/>
      <w:outlineLvl w:val="0"/>
    </w:pPr>
    <w:rPr>
      <w:rFonts w:ascii="宋体" w:hAnsi="宋体" w:eastAsia="宋体" w:cs="宋体"/>
      <w:b/>
      <w:bCs/>
      <w:kern w:val="36"/>
      <w:sz w:val="48"/>
      <w:szCs w:val="48"/>
      <w:lang w:val="en-US" w:eastAsia="zh-CN" w:bidi="ar-SA"/>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99"/>
    <w:pPr>
      <w:adjustRightInd w:val="0"/>
      <w:spacing w:line="360" w:lineRule="auto"/>
      <w:ind w:firstLine="420"/>
      <w:textAlignment w:val="baseline"/>
    </w:pPr>
    <w:rPr>
      <w:rFonts w:ascii="Calibri" w:hAnsi="Calibri" w:cs="Calibri"/>
      <w:kern w:val="0"/>
      <w:sz w:val="24"/>
      <w:szCs w:val="24"/>
    </w:rPr>
  </w:style>
  <w:style w:type="paragraph" w:styleId="4">
    <w:name w:val="Body Text"/>
    <w:basedOn w:val="1"/>
    <w:next w:val="5"/>
    <w:link w:val="18"/>
    <w:qFormat/>
    <w:uiPriority w:val="99"/>
  </w:style>
  <w:style w:type="paragraph" w:styleId="5">
    <w:name w:val="Title"/>
    <w:basedOn w:val="1"/>
    <w:next w:val="1"/>
    <w:link w:val="19"/>
    <w:qFormat/>
    <w:uiPriority w:val="99"/>
    <w:pPr>
      <w:spacing w:before="240" w:after="60"/>
      <w:jc w:val="center"/>
      <w:outlineLvl w:val="0"/>
    </w:pPr>
    <w:rPr>
      <w:rFonts w:ascii="Cambria" w:hAnsi="Cambria" w:cs="Cambria"/>
      <w:b/>
      <w:bCs/>
    </w:rPr>
  </w:style>
  <w:style w:type="paragraph" w:styleId="6">
    <w:name w:val="Body Text Indent"/>
    <w:basedOn w:val="1"/>
    <w:link w:val="20"/>
    <w:qFormat/>
    <w:uiPriority w:val="99"/>
    <w:pPr>
      <w:ind w:firstLine="660"/>
    </w:pPr>
    <w:rPr>
      <w:rFonts w:ascii="仿宋_GB2312" w:cs="仿宋_GB2312"/>
    </w:rPr>
  </w:style>
  <w:style w:type="paragraph" w:styleId="7">
    <w:name w:val="Plain Text"/>
    <w:basedOn w:val="1"/>
    <w:link w:val="21"/>
    <w:qFormat/>
    <w:locked/>
    <w:uiPriority w:val="99"/>
    <w:rPr>
      <w:rFonts w:ascii="宋体" w:hAnsi="Courier New" w:cs="宋体"/>
    </w:rPr>
  </w:style>
  <w:style w:type="paragraph" w:styleId="8">
    <w:name w:val="Body Text Indent 2"/>
    <w:basedOn w:val="1"/>
    <w:link w:val="22"/>
    <w:qFormat/>
    <w:uiPriority w:val="99"/>
    <w:pPr>
      <w:spacing w:after="120" w:line="480" w:lineRule="auto"/>
      <w:ind w:left="420" w:leftChars="200"/>
    </w:pPr>
    <w:rPr>
      <w:rFonts w:eastAsia="宋体"/>
      <w:sz w:val="21"/>
      <w:szCs w:val="21"/>
    </w:rPr>
  </w:style>
  <w:style w:type="paragraph" w:styleId="9">
    <w:name w:val="footer"/>
    <w:basedOn w:val="1"/>
    <w:link w:val="31"/>
    <w:qFormat/>
    <w:uiPriority w:val="99"/>
    <w:pPr>
      <w:tabs>
        <w:tab w:val="center" w:pos="4153"/>
        <w:tab w:val="right" w:pos="8306"/>
      </w:tabs>
      <w:snapToGrid w:val="0"/>
      <w:jc w:val="left"/>
    </w:pPr>
    <w:rPr>
      <w:sz w:val="18"/>
      <w:szCs w:val="18"/>
    </w:rPr>
  </w:style>
  <w:style w:type="paragraph" w:styleId="10">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Body Text First Indent 2"/>
    <w:basedOn w:val="6"/>
    <w:link w:val="25"/>
    <w:qFormat/>
    <w:uiPriority w:val="99"/>
    <w:pPr>
      <w:ind w:firstLine="420" w:firstLineChars="200"/>
    </w:pPr>
    <w:rPr>
      <w:rFonts w:eastAsia="宋体"/>
    </w:rPr>
  </w:style>
  <w:style w:type="character" w:styleId="15">
    <w:name w:val="Strong"/>
    <w:basedOn w:val="14"/>
    <w:qFormat/>
    <w:uiPriority w:val="99"/>
    <w:rPr>
      <w:b/>
      <w:bCs/>
    </w:rPr>
  </w:style>
  <w:style w:type="character" w:styleId="16">
    <w:name w:val="page number"/>
    <w:basedOn w:val="14"/>
    <w:qFormat/>
    <w:uiPriority w:val="99"/>
    <w:rPr>
      <w:rFonts w:eastAsia="宋体"/>
      <w:sz w:val="28"/>
      <w:szCs w:val="28"/>
    </w:rPr>
  </w:style>
  <w:style w:type="character" w:styleId="17">
    <w:name w:val="Hyperlink"/>
    <w:basedOn w:val="14"/>
    <w:qFormat/>
    <w:uiPriority w:val="99"/>
    <w:rPr>
      <w:color w:val="0000FF"/>
      <w:u w:val="single"/>
    </w:rPr>
  </w:style>
  <w:style w:type="character" w:customStyle="1" w:styleId="18">
    <w:name w:val="正文文本 Char"/>
    <w:basedOn w:val="14"/>
    <w:link w:val="4"/>
    <w:semiHidden/>
    <w:qFormat/>
    <w:locked/>
    <w:uiPriority w:val="99"/>
    <w:rPr>
      <w:rFonts w:ascii="Times New Roman" w:hAnsi="Times New Roman" w:eastAsia="仿宋_GB2312" w:cs="Times New Roman"/>
      <w:sz w:val="32"/>
      <w:szCs w:val="32"/>
    </w:rPr>
  </w:style>
  <w:style w:type="character" w:customStyle="1" w:styleId="19">
    <w:name w:val="标题 Char"/>
    <w:basedOn w:val="14"/>
    <w:link w:val="5"/>
    <w:qFormat/>
    <w:locked/>
    <w:uiPriority w:val="99"/>
    <w:rPr>
      <w:rFonts w:ascii="Cambria" w:hAnsi="Cambria" w:cs="Cambria"/>
      <w:b/>
      <w:bCs/>
      <w:sz w:val="32"/>
      <w:szCs w:val="32"/>
    </w:rPr>
  </w:style>
  <w:style w:type="character" w:customStyle="1" w:styleId="20">
    <w:name w:val="正文文本缩进 Char"/>
    <w:basedOn w:val="14"/>
    <w:link w:val="6"/>
    <w:semiHidden/>
    <w:qFormat/>
    <w:locked/>
    <w:uiPriority w:val="99"/>
    <w:rPr>
      <w:rFonts w:ascii="Times New Roman" w:hAnsi="Times New Roman" w:eastAsia="仿宋_GB2312" w:cs="Times New Roman"/>
      <w:sz w:val="32"/>
      <w:szCs w:val="32"/>
    </w:rPr>
  </w:style>
  <w:style w:type="character" w:customStyle="1" w:styleId="21">
    <w:name w:val="纯文本 Char"/>
    <w:basedOn w:val="14"/>
    <w:link w:val="7"/>
    <w:semiHidden/>
    <w:qFormat/>
    <w:locked/>
    <w:uiPriority w:val="99"/>
    <w:rPr>
      <w:rFonts w:ascii="宋体" w:hAnsi="Courier New" w:cs="宋体"/>
      <w:sz w:val="21"/>
      <w:szCs w:val="21"/>
    </w:rPr>
  </w:style>
  <w:style w:type="character" w:customStyle="1" w:styleId="22">
    <w:name w:val="正文文本缩进 2 Char"/>
    <w:basedOn w:val="14"/>
    <w:link w:val="8"/>
    <w:semiHidden/>
    <w:qFormat/>
    <w:locked/>
    <w:uiPriority w:val="99"/>
    <w:rPr>
      <w:rFonts w:ascii="Times New Roman" w:hAnsi="Times New Roman" w:eastAsia="仿宋_GB2312" w:cs="Times New Roman"/>
      <w:sz w:val="32"/>
      <w:szCs w:val="32"/>
    </w:rPr>
  </w:style>
  <w:style w:type="character" w:customStyle="1" w:styleId="23">
    <w:name w:val="Footer Char"/>
    <w:basedOn w:val="14"/>
    <w:link w:val="9"/>
    <w:semiHidden/>
    <w:qFormat/>
    <w:locked/>
    <w:uiPriority w:val="99"/>
    <w:rPr>
      <w:rFonts w:ascii="Times New Roman" w:hAnsi="Times New Roman" w:eastAsia="仿宋_GB2312" w:cs="Times New Roman"/>
      <w:sz w:val="18"/>
      <w:szCs w:val="18"/>
    </w:rPr>
  </w:style>
  <w:style w:type="character" w:customStyle="1" w:styleId="24">
    <w:name w:val="页眉 Char"/>
    <w:basedOn w:val="14"/>
    <w:link w:val="10"/>
    <w:semiHidden/>
    <w:qFormat/>
    <w:locked/>
    <w:uiPriority w:val="99"/>
    <w:rPr>
      <w:rFonts w:ascii="Times New Roman" w:hAnsi="Times New Roman" w:eastAsia="仿宋_GB2312" w:cs="Times New Roman"/>
      <w:sz w:val="18"/>
      <w:szCs w:val="18"/>
    </w:rPr>
  </w:style>
  <w:style w:type="character" w:customStyle="1" w:styleId="25">
    <w:name w:val="正文首行缩进 2 Char"/>
    <w:basedOn w:val="20"/>
    <w:link w:val="12"/>
    <w:semiHidden/>
    <w:qFormat/>
    <w:locked/>
    <w:uiPriority w:val="99"/>
  </w:style>
  <w:style w:type="paragraph" w:customStyle="1" w:styleId="26">
    <w:name w:val="Char Char Char Char Char Char Char Char Char Char Char Char Char Char Char Char Char Char Char"/>
    <w:basedOn w:val="1"/>
    <w:qFormat/>
    <w:uiPriority w:val="99"/>
    <w:pPr>
      <w:widowControl/>
      <w:spacing w:after="160" w:line="240" w:lineRule="exact"/>
      <w:jc w:val="left"/>
    </w:pPr>
  </w:style>
  <w:style w:type="paragraph" w:customStyle="1" w:styleId="27">
    <w:name w:val="列出段落1"/>
    <w:basedOn w:val="1"/>
    <w:qFormat/>
    <w:uiPriority w:val="99"/>
    <w:pPr>
      <w:ind w:firstLine="420" w:firstLineChars="200"/>
    </w:pPr>
  </w:style>
  <w:style w:type="paragraph" w:customStyle="1" w:styleId="28">
    <w:name w:val="p0"/>
    <w:basedOn w:val="1"/>
    <w:qFormat/>
    <w:uiPriority w:val="99"/>
    <w:pPr>
      <w:widowControl/>
    </w:pPr>
    <w:rPr>
      <w:rFonts w:eastAsia="宋体"/>
      <w:kern w:val="0"/>
    </w:rPr>
  </w:style>
  <w:style w:type="paragraph" w:customStyle="1" w:styleId="29">
    <w:name w:val="_Style 5"/>
    <w:qFormat/>
    <w:uiPriority w:val="99"/>
    <w:pPr>
      <w:widowControl w:val="0"/>
      <w:ind w:firstLine="200" w:firstLineChars="200"/>
      <w:jc w:val="both"/>
    </w:pPr>
    <w:rPr>
      <w:rFonts w:ascii="Calibri" w:hAnsi="Calibri" w:eastAsia="宋体" w:cs="Calibri"/>
      <w:kern w:val="2"/>
      <w:sz w:val="24"/>
      <w:szCs w:val="24"/>
      <w:lang w:val="en-US" w:eastAsia="zh-CN" w:bidi="ar-SA"/>
    </w:rPr>
  </w:style>
  <w:style w:type="paragraph" w:customStyle="1" w:styleId="30">
    <w:name w:val="p"/>
    <w:basedOn w:val="1"/>
    <w:qFormat/>
    <w:uiPriority w:val="99"/>
    <w:pPr>
      <w:widowControl/>
      <w:jc w:val="left"/>
    </w:pPr>
    <w:rPr>
      <w:rFonts w:eastAsia="宋体"/>
      <w:kern w:val="0"/>
      <w:sz w:val="24"/>
      <w:szCs w:val="24"/>
    </w:rPr>
  </w:style>
  <w:style w:type="character" w:customStyle="1" w:styleId="31">
    <w:name w:val="页脚 Char"/>
    <w:basedOn w:val="14"/>
    <w:link w:val="9"/>
    <w:qFormat/>
    <w:locked/>
    <w:uiPriority w:val="99"/>
    <w:rPr>
      <w:rFonts w:eastAsia="仿宋_GB2312"/>
      <w:kern w:val="2"/>
      <w:sz w:val="18"/>
      <w:szCs w:val="18"/>
      <w:lang w:val="en-US" w:eastAsia="zh-CN"/>
    </w:rPr>
  </w:style>
  <w:style w:type="paragraph" w:customStyle="1" w:styleId="32">
    <w:name w:val="Default"/>
    <w:qFormat/>
    <w:uiPriority w:val="99"/>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17</Pages>
  <Words>8294</Words>
  <Characters>8301</Characters>
  <Lines>60</Lines>
  <Paragraphs>17</Paragraphs>
  <TotalTime>14</TotalTime>
  <ScaleCrop>false</ScaleCrop>
  <LinksUpToDate>false</LinksUpToDate>
  <CharactersWithSpaces>8406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2022-09-16T13:14:00Z</dcterms:created>
  <dc:creator>user</dc:creator>
  <cp:lastModifiedBy>an。</cp:lastModifiedBy>
  <cp:lastPrinted>2022-10-04T23:17:00Z</cp:lastPrinted>
  <dcterms:modified xsi:type="dcterms:W3CDTF">2023-06-09T02:57:13Z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SaveFontToCloudKey">
    <vt:lpwstr>557190748_cloud</vt:lpwstr>
  </property>
  <property fmtid="{D5CDD505-2E9C-101B-9397-08002B2CF9AE}" pid="4" name="ICV">
    <vt:lpwstr>8D176E9901D8EAC2D95047646C58C237</vt:lpwstr>
  </property>
</Properties>
</file>