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00" w:lineRule="auto"/>
        <w:jc w:val="center"/>
        <w:rPr>
          <w:rFonts w:hint="default" w:ascii="Times New Roman" w:hAnsi="Times New Roman" w:eastAsia="宋体" w:cs="Times New Roman"/>
          <w:color w:val="auto"/>
          <w:sz w:val="32"/>
          <w:szCs w:val="32"/>
        </w:rPr>
      </w:pPr>
      <w:bookmarkStart w:id="0" w:name="_GoBack"/>
      <w:bookmarkEnd w:id="0"/>
    </w:p>
    <w:p>
      <w:pPr>
        <w:spacing w:line="300" w:lineRule="auto"/>
        <w:jc w:val="center"/>
        <w:rPr>
          <w:rFonts w:hint="default" w:ascii="Times New Roman" w:hAnsi="Times New Roman" w:eastAsia="宋体" w:cs="Times New Roman"/>
          <w:color w:val="auto"/>
          <w:sz w:val="32"/>
          <w:szCs w:val="32"/>
        </w:rPr>
      </w:pPr>
    </w:p>
    <w:p>
      <w:pPr>
        <w:spacing w:line="300" w:lineRule="auto"/>
        <w:jc w:val="center"/>
        <w:outlineLvl w:val="2"/>
        <w:rPr>
          <w:color w:val="auto"/>
          <w:sz w:val="44"/>
          <w:szCs w:val="44"/>
        </w:rPr>
      </w:pPr>
      <w:r>
        <w:rPr>
          <w:rFonts w:hint="eastAsia"/>
          <w:color w:val="auto"/>
          <w:sz w:val="44"/>
          <w:szCs w:val="44"/>
        </w:rPr>
        <w:t>汕头经济特区村务公开条例</w:t>
      </w:r>
    </w:p>
    <w:p>
      <w:pPr>
        <w:spacing w:line="300" w:lineRule="auto"/>
        <w:jc w:val="center"/>
        <w:rPr>
          <w:rFonts w:hint="eastAsia" w:eastAsia="楷体_GB2312"/>
          <w:color w:val="auto"/>
          <w:sz w:val="32"/>
          <w:szCs w:val="28"/>
        </w:rPr>
      </w:pPr>
    </w:p>
    <w:p>
      <w:pPr>
        <w:spacing w:line="300" w:lineRule="auto"/>
        <w:ind w:left="412" w:leftChars="200" w:right="412" w:rightChars="200"/>
        <w:rPr>
          <w:rFonts w:hint="eastAsia" w:eastAsia="楷体_GB2312"/>
          <w:color w:val="auto"/>
          <w:sz w:val="32"/>
          <w:szCs w:val="32"/>
        </w:rPr>
      </w:pPr>
      <w:r>
        <w:rPr>
          <w:rFonts w:eastAsia="楷体_GB2312"/>
          <w:color w:val="auto"/>
          <w:sz w:val="32"/>
          <w:szCs w:val="32"/>
        </w:rPr>
        <w:t>（201</w:t>
      </w:r>
      <w:r>
        <w:rPr>
          <w:rFonts w:hint="eastAsia" w:eastAsia="楷体_GB2312"/>
          <w:color w:val="auto"/>
          <w:sz w:val="32"/>
          <w:szCs w:val="32"/>
        </w:rPr>
        <w:t>4</w:t>
      </w:r>
      <w:r>
        <w:rPr>
          <w:rFonts w:eastAsia="楷体_GB2312"/>
          <w:color w:val="auto"/>
          <w:sz w:val="32"/>
          <w:szCs w:val="32"/>
        </w:rPr>
        <w:t>年</w:t>
      </w:r>
      <w:r>
        <w:rPr>
          <w:rFonts w:hint="eastAsia" w:eastAsia="楷体_GB2312"/>
          <w:color w:val="auto"/>
          <w:sz w:val="32"/>
          <w:szCs w:val="32"/>
        </w:rPr>
        <w:t>4</w:t>
      </w:r>
      <w:r>
        <w:rPr>
          <w:rFonts w:eastAsia="楷体_GB2312"/>
          <w:color w:val="auto"/>
          <w:sz w:val="32"/>
          <w:szCs w:val="32"/>
        </w:rPr>
        <w:t>月</w:t>
      </w:r>
      <w:r>
        <w:rPr>
          <w:rFonts w:hint="eastAsia" w:eastAsia="楷体_GB2312"/>
          <w:color w:val="auto"/>
          <w:sz w:val="32"/>
          <w:szCs w:val="32"/>
        </w:rPr>
        <w:t>24</w:t>
      </w:r>
      <w:r>
        <w:rPr>
          <w:rFonts w:eastAsia="楷体_GB2312"/>
          <w:color w:val="auto"/>
          <w:sz w:val="32"/>
          <w:szCs w:val="32"/>
        </w:rPr>
        <w:t>日汕头市第十</w:t>
      </w:r>
      <w:r>
        <w:rPr>
          <w:rFonts w:hint="eastAsia" w:eastAsia="楷体_GB2312"/>
          <w:color w:val="auto"/>
          <w:sz w:val="32"/>
          <w:szCs w:val="32"/>
        </w:rPr>
        <w:t>三</w:t>
      </w:r>
      <w:r>
        <w:rPr>
          <w:rFonts w:eastAsia="楷体_GB2312"/>
          <w:color w:val="auto"/>
          <w:sz w:val="32"/>
          <w:szCs w:val="32"/>
        </w:rPr>
        <w:t>届人民代表大会常务委员会第</w:t>
      </w:r>
      <w:r>
        <w:rPr>
          <w:rFonts w:hint="eastAsia" w:eastAsia="楷体_GB2312"/>
          <w:color w:val="auto"/>
          <w:sz w:val="32"/>
          <w:szCs w:val="32"/>
        </w:rPr>
        <w:t>二十三</w:t>
      </w:r>
      <w:r>
        <w:rPr>
          <w:rFonts w:eastAsia="楷体_GB2312"/>
          <w:color w:val="auto"/>
          <w:sz w:val="32"/>
          <w:szCs w:val="32"/>
        </w:rPr>
        <w:t>次会议通过）</w:t>
      </w:r>
    </w:p>
    <w:p>
      <w:pPr>
        <w:spacing w:line="300" w:lineRule="auto"/>
        <w:jc w:val="center"/>
        <w:rPr>
          <w:rFonts w:hint="eastAsia" w:eastAsia="楷体_GB2312"/>
          <w:color w:val="auto"/>
          <w:sz w:val="32"/>
          <w:szCs w:val="28"/>
        </w:rPr>
      </w:pPr>
    </w:p>
    <w:p>
      <w:pPr>
        <w:spacing w:line="300" w:lineRule="auto"/>
        <w:jc w:val="center"/>
        <w:rPr>
          <w:rFonts w:hint="eastAsia" w:ascii="楷体_GB2312" w:eastAsia="楷体_GB2312"/>
          <w:color w:val="auto"/>
          <w:sz w:val="32"/>
          <w:szCs w:val="32"/>
        </w:rPr>
      </w:pPr>
      <w:r>
        <w:rPr>
          <w:rFonts w:hint="eastAsia" w:ascii="楷体_GB2312" w:eastAsia="楷体_GB2312"/>
          <w:color w:val="auto"/>
          <w:sz w:val="32"/>
          <w:szCs w:val="32"/>
        </w:rPr>
        <w:t>目　　录</w:t>
      </w:r>
    </w:p>
    <w:p>
      <w:pPr>
        <w:spacing w:line="300" w:lineRule="auto"/>
        <w:jc w:val="center"/>
        <w:rPr>
          <w:rFonts w:hint="eastAsia" w:ascii="楷体_GB2312" w:eastAsia="楷体_GB2312"/>
          <w:color w:val="auto"/>
          <w:sz w:val="32"/>
          <w:szCs w:val="32"/>
        </w:rPr>
      </w:pPr>
    </w:p>
    <w:p>
      <w:pPr>
        <w:spacing w:line="300" w:lineRule="auto"/>
        <w:ind w:firstLine="632" w:firstLineChars="200"/>
        <w:rPr>
          <w:rFonts w:hint="eastAsia" w:ascii="楷体_GB2312" w:eastAsia="楷体_GB2312"/>
          <w:color w:val="auto"/>
          <w:sz w:val="32"/>
          <w:szCs w:val="32"/>
        </w:rPr>
      </w:pPr>
      <w:r>
        <w:rPr>
          <w:rFonts w:hint="eastAsia" w:ascii="楷体_GB2312" w:eastAsia="楷体_GB2312"/>
          <w:color w:val="auto"/>
          <w:sz w:val="32"/>
          <w:szCs w:val="32"/>
        </w:rPr>
        <w:t>第一章　总则</w:t>
      </w:r>
    </w:p>
    <w:p>
      <w:pPr>
        <w:spacing w:line="300" w:lineRule="auto"/>
        <w:ind w:firstLine="632" w:firstLineChars="200"/>
        <w:rPr>
          <w:rFonts w:hint="eastAsia" w:ascii="楷体_GB2312" w:eastAsia="楷体_GB2312"/>
          <w:color w:val="auto"/>
          <w:sz w:val="32"/>
          <w:szCs w:val="32"/>
        </w:rPr>
      </w:pPr>
      <w:r>
        <w:rPr>
          <w:rFonts w:hint="eastAsia" w:ascii="楷体_GB2312" w:eastAsia="楷体_GB2312"/>
          <w:color w:val="auto"/>
          <w:sz w:val="32"/>
          <w:szCs w:val="32"/>
        </w:rPr>
        <w:t>第二章　内容与程序</w:t>
      </w:r>
    </w:p>
    <w:p>
      <w:pPr>
        <w:spacing w:line="300" w:lineRule="auto"/>
        <w:ind w:firstLine="632" w:firstLineChars="200"/>
        <w:rPr>
          <w:rFonts w:hint="eastAsia" w:ascii="楷体_GB2312" w:eastAsia="楷体_GB2312"/>
          <w:color w:val="auto"/>
          <w:sz w:val="32"/>
          <w:szCs w:val="32"/>
        </w:rPr>
      </w:pPr>
      <w:r>
        <w:rPr>
          <w:rFonts w:hint="eastAsia" w:ascii="楷体_GB2312" w:eastAsia="楷体_GB2312"/>
          <w:color w:val="auto"/>
          <w:sz w:val="32"/>
          <w:szCs w:val="32"/>
        </w:rPr>
        <w:t>第三章　监督与保障</w:t>
      </w:r>
    </w:p>
    <w:p>
      <w:pPr>
        <w:spacing w:line="300" w:lineRule="auto"/>
        <w:ind w:firstLine="632" w:firstLineChars="200"/>
        <w:rPr>
          <w:rFonts w:hint="eastAsia" w:ascii="楷体_GB2312" w:eastAsia="楷体_GB2312"/>
          <w:color w:val="auto"/>
          <w:sz w:val="32"/>
          <w:szCs w:val="32"/>
        </w:rPr>
      </w:pPr>
      <w:r>
        <w:rPr>
          <w:rFonts w:hint="eastAsia" w:ascii="楷体_GB2312" w:eastAsia="楷体_GB2312"/>
          <w:color w:val="auto"/>
          <w:sz w:val="32"/>
          <w:szCs w:val="32"/>
        </w:rPr>
        <w:t>第四章　法律责任</w:t>
      </w:r>
    </w:p>
    <w:p>
      <w:pPr>
        <w:spacing w:line="300" w:lineRule="auto"/>
        <w:ind w:firstLine="632" w:firstLineChars="200"/>
        <w:rPr>
          <w:rFonts w:hint="eastAsia" w:ascii="楷体_GB2312" w:eastAsia="楷体_GB2312"/>
          <w:color w:val="auto"/>
          <w:sz w:val="32"/>
          <w:szCs w:val="32"/>
        </w:rPr>
      </w:pPr>
      <w:r>
        <w:rPr>
          <w:rFonts w:hint="eastAsia" w:ascii="楷体_GB2312" w:eastAsia="楷体_GB2312"/>
          <w:color w:val="auto"/>
          <w:sz w:val="32"/>
          <w:szCs w:val="32"/>
        </w:rPr>
        <w:t>第五章　附则</w:t>
      </w:r>
    </w:p>
    <w:p>
      <w:pPr>
        <w:spacing w:line="300" w:lineRule="auto"/>
        <w:jc w:val="center"/>
        <w:rPr>
          <w:rFonts w:eastAsia="黑体"/>
          <w:color w:val="auto"/>
          <w:sz w:val="32"/>
          <w:szCs w:val="32"/>
        </w:rPr>
      </w:pPr>
    </w:p>
    <w:p>
      <w:pPr>
        <w:spacing w:line="300" w:lineRule="auto"/>
        <w:jc w:val="center"/>
        <w:rPr>
          <w:rFonts w:hint="eastAsia" w:eastAsia="黑体"/>
          <w:color w:val="auto"/>
          <w:sz w:val="32"/>
          <w:szCs w:val="32"/>
        </w:rPr>
      </w:pPr>
      <w:r>
        <w:rPr>
          <w:rFonts w:hint="eastAsia" w:eastAsia="黑体"/>
          <w:color w:val="auto"/>
          <w:sz w:val="32"/>
          <w:szCs w:val="32"/>
        </w:rPr>
        <w:t>第一章　总则</w:t>
      </w:r>
    </w:p>
    <w:p>
      <w:pPr>
        <w:spacing w:line="300" w:lineRule="auto"/>
        <w:jc w:val="center"/>
        <w:rPr>
          <w:rFonts w:eastAsia="黑体"/>
          <w:color w:val="auto"/>
          <w:sz w:val="32"/>
          <w:szCs w:val="32"/>
        </w:rPr>
      </w:pP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第一条</w:t>
      </w:r>
      <w:r>
        <w:rPr>
          <w:rFonts w:hint="eastAsia" w:eastAsia="仿宋_GB2312"/>
          <w:color w:val="auto"/>
          <w:sz w:val="32"/>
          <w:szCs w:val="32"/>
        </w:rPr>
        <w:t>　为了加强农村基层民主建设，保障村民对村务的民主决策、民主管理、民主监督，推进村民自治，促进农村经济发展和社会进步，根据《中华人民共和国村民委员会组织法》等法律、行政法规的基本原则，结合汕头经济特区（以下简称特区）实际，制定本条例。</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第二条</w:t>
      </w:r>
      <w:r>
        <w:rPr>
          <w:rFonts w:hint="eastAsia" w:eastAsia="仿宋_GB2312"/>
          <w:color w:val="auto"/>
          <w:sz w:val="32"/>
          <w:szCs w:val="32"/>
        </w:rPr>
        <w:t>　特区范围内的村民委员会的村务公开适用本条例。</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第三条</w:t>
      </w:r>
      <w:r>
        <w:rPr>
          <w:rFonts w:hint="eastAsia" w:eastAsia="仿宋_GB2312"/>
          <w:color w:val="auto"/>
          <w:sz w:val="32"/>
          <w:szCs w:val="32"/>
        </w:rPr>
        <w:t>　村务公开是指村民委员会按照规定的时间、内容、形式、程序和标准，将村民普遍关心的、涉及村民切身利益的村务重大事项予以公布，并接受村民监督的民主管理制度。</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第四条</w:t>
      </w:r>
      <w:r>
        <w:rPr>
          <w:rFonts w:hint="eastAsia" w:eastAsia="仿宋_GB2312"/>
          <w:color w:val="auto"/>
          <w:sz w:val="32"/>
          <w:szCs w:val="32"/>
        </w:rPr>
        <w:t>　村务公开应当遵循全面、真实、及时、规范的原则，实行事前、事中、事后全过程公开。</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第五条</w:t>
      </w:r>
      <w:r>
        <w:rPr>
          <w:rFonts w:hint="eastAsia" w:eastAsia="仿宋_GB2312"/>
          <w:color w:val="auto"/>
          <w:sz w:val="32"/>
          <w:szCs w:val="32"/>
        </w:rPr>
        <w:t>　村民委员会主任是实施村务公开的主要责任人。</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第六条</w:t>
      </w:r>
      <w:r>
        <w:rPr>
          <w:rFonts w:hint="eastAsia" w:eastAsia="仿宋_GB2312"/>
          <w:color w:val="auto"/>
          <w:sz w:val="32"/>
          <w:szCs w:val="32"/>
        </w:rPr>
        <w:t>　市、区（县）和镇人民政府、街道办事处应当根据本辖区的实际情况，制定村务公开工作规划，指导、支持和帮助村民委员会开展村务公开工作。</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镇人民政府、街道办事处和市、区（县）人民政府民政部门负责村务公开的指导、协调和监督工作，建立和完善村务公开监督制度。</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农业、林业、监察、公安、人力资源和社会保障、司法、财政、国土资源、住房和城乡建设、卫生和计划生育、审计、信访、档案等行政管理部门以及有关群团组织按照各自职能，配合做好村务公开的相关工作。</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第七条</w:t>
      </w:r>
      <w:r>
        <w:rPr>
          <w:rFonts w:hint="eastAsia" w:eastAsia="仿宋_GB2312"/>
          <w:color w:val="auto"/>
          <w:sz w:val="32"/>
          <w:szCs w:val="32"/>
        </w:rPr>
        <w:t>　各级人民政府应当完善村务公开规章制度，建立健全村务公开的检查、考评、奖惩和培训制度，督查村民委员会履行村务公开职责的情况，并将村务公开工作实施情况纳入区（县）、镇人民政府、街道办事处年终考核内容和领导政绩考核指标。</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第八条</w:t>
      </w:r>
      <w:r>
        <w:rPr>
          <w:rFonts w:hint="eastAsia" w:eastAsia="仿宋_GB2312"/>
          <w:color w:val="auto"/>
          <w:sz w:val="32"/>
          <w:szCs w:val="32"/>
        </w:rPr>
        <w:t>　各级人民政府应当建立健全村务公开工作经费保障制度，将村务公开工作经费、村务公开栏和村务信息公开平台管理维护经费等纳入同级年度财政预算。</w:t>
      </w:r>
    </w:p>
    <w:p>
      <w:pPr>
        <w:spacing w:line="300" w:lineRule="auto"/>
        <w:jc w:val="center"/>
        <w:rPr>
          <w:rFonts w:eastAsia="黑体"/>
          <w:color w:val="auto"/>
          <w:sz w:val="32"/>
          <w:szCs w:val="32"/>
        </w:rPr>
      </w:pPr>
    </w:p>
    <w:p>
      <w:pPr>
        <w:spacing w:line="300" w:lineRule="auto"/>
        <w:jc w:val="center"/>
        <w:rPr>
          <w:rFonts w:hint="eastAsia" w:eastAsia="黑体"/>
          <w:color w:val="auto"/>
          <w:sz w:val="32"/>
          <w:szCs w:val="32"/>
        </w:rPr>
      </w:pPr>
      <w:r>
        <w:rPr>
          <w:rFonts w:hint="eastAsia" w:eastAsia="黑体"/>
          <w:color w:val="auto"/>
          <w:sz w:val="32"/>
          <w:szCs w:val="32"/>
        </w:rPr>
        <w:t>第二章　内容与程序</w:t>
      </w:r>
    </w:p>
    <w:p>
      <w:pPr>
        <w:spacing w:line="300" w:lineRule="auto"/>
        <w:jc w:val="center"/>
        <w:rPr>
          <w:rFonts w:eastAsia="黑体"/>
          <w:color w:val="auto"/>
          <w:sz w:val="32"/>
          <w:szCs w:val="32"/>
        </w:rPr>
      </w:pP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第九条</w:t>
      </w:r>
      <w:r>
        <w:rPr>
          <w:rFonts w:hint="eastAsia" w:eastAsia="仿宋_GB2312"/>
          <w:color w:val="auto"/>
          <w:sz w:val="32"/>
          <w:szCs w:val="32"/>
        </w:rPr>
        <w:t>　下列村务事项应当公开：</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（一）本村村民自治章程、村规民约的制定和实施情况；</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（二）村民委员会成员、村民代表、村务监督委员会成员依法选举、罢免、辞职、职务终止和补选情况，村民委员会成员、村务监督委员会成员工作分工情况；</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（三）村民委员会任期目标规划、村民委员会年度工作计划及其执行情况；</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（四）本村经济和社会发展规划的审议和执行情况，村庄规划、实施计划和建设项目的实施情况；</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（五）村民委员会年度工作报告的审议和执行情况，本村年度财务收支、债权债务和村民民主理财情况；</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（六）本村集体资产、资金、资源以及其经营管理情况，包括集体经济项目的立项、招投标和合同履行情况，集体资产资源承包、租赁、出让方案以及村集体经济收益及其分配和使用情况；</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（七）本村集体所有土地、山林等资源的征收征用、发包、流转和各项补偿费的收入、使用情况；</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（八）村民宅基地的申报、批准和分配使用情况，旧村改造和拆迁补偿情况；</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（九）本村兴办公益事业以及“一事一议”筹资筹劳方案、建设承包方案及实施情况；</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十）救灾救济、扶贫助残、最低生活保障、计划生育奖扶以及“一事一议”财政奖补、种粮直补等国家补贴经费、专项经费的管理使用情况，最低生活保障、五保供养、优抚等享受抚恤补助对象的申报、复核、批准情况；</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（十一）接受社会捐赠款物的管理使用情况；</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（十二）城乡居民社会养老保险参保人员以及领取养老待遇人员，参加城乡居民基本医疗保险人员，纳入被征地农民养老保险范围对象人员名单以及征地社保资金分配情况；</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（十三）落实计划生育政策和殡葬政策的情况；</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（十四）服务异地务工人员以及本地劳动力培训转移就业情况；</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（十五）村民委员会成员的任期和离任经济责任审计，民主评议情况；</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（十六）村民会议，村民代表会议，村民委员会、村务监督委员会、村民小组会议讨论决定的事项以及实施情况；</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（十七）村民委员会协助人民政府开展工作的情况；</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（十八）村党组织和村民委员会成员的待遇补贴情况，其他村务管理工作人员的聘用、辞退和补贴情况；</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（十九）其他需要公开的事项。</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第十条</w:t>
      </w:r>
      <w:r>
        <w:rPr>
          <w:rFonts w:hint="eastAsia" w:eastAsia="仿宋_GB2312"/>
          <w:color w:val="auto"/>
          <w:sz w:val="32"/>
          <w:szCs w:val="32"/>
        </w:rPr>
        <w:t>　经十分之一以上有选举权的村民或者五分之一以上村民代表联名要求公开的其他村务事项，除涉及国家秘密、商业秘密和个人隐私外，应当公开。</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第十一条</w:t>
      </w:r>
      <w:r>
        <w:rPr>
          <w:rFonts w:hint="eastAsia" w:eastAsia="仿宋_GB2312"/>
          <w:color w:val="auto"/>
          <w:sz w:val="32"/>
          <w:szCs w:val="32"/>
        </w:rPr>
        <w:t>　按照本条例第九条规定应当公开的事项，涉及工作目标执行情况的，应当每年公布一次；涉及日常村务管理活动中相对固定的事项，应当每季度公开一次；涉及财务的事项，应当每月公布一次；涉及村民切身利益的重大事项、重大决策和村民普遍关心的事项，应当及时公开。</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定期公开的村务，应当在每年度、季度、月份结束之日起十日内公布；及时公开的村务，应当在公开事项发生之日起五日内公布；遇到特殊情况无法按时公布的，应当及时作出说明。</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第十二条</w:t>
      </w:r>
      <w:r>
        <w:rPr>
          <w:rFonts w:hint="eastAsia" w:eastAsia="仿宋_GB2312"/>
          <w:color w:val="auto"/>
          <w:sz w:val="32"/>
          <w:szCs w:val="32"/>
        </w:rPr>
        <w:t>　村民委员会应当在方便村民查看的户外地方设立固定的橱窗式村务公开栏公布村务，并配挂意见箱，注明村务公开监督电话和开箱日期。</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村民委员会应当将村务公开内容在汕头市农村基层党风廉政信息公开平台上进行公布。有条件的村民委员会应当开通村务公开电子信息平台，对相关事项予以公布。</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第十三条</w:t>
      </w:r>
      <w:r>
        <w:rPr>
          <w:rFonts w:hint="eastAsia" w:eastAsia="仿宋_GB2312"/>
          <w:color w:val="auto"/>
          <w:sz w:val="32"/>
          <w:szCs w:val="32"/>
        </w:rPr>
        <w:t>　村务公开应当按照下列程序进行：</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（一）村民委员会提出村务公开的具体方案，送村务监督委员会审查；</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（二）村民委员会根据村务监督委员会的审查意见对村务公开方案进行补充、完善；</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（三）村党组织和村民委员会召开联席会议确定村务公开方案，并请村务监督委员会审查人员签名确认；</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（四）村民委员会对村务公开方案确定的内容按照规定进行公布、存档并报镇人民政府、街道办事处备案。</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第十四条</w:t>
      </w:r>
      <w:r>
        <w:rPr>
          <w:rFonts w:hint="eastAsia" w:eastAsia="仿宋_GB2312"/>
          <w:color w:val="auto"/>
          <w:sz w:val="32"/>
          <w:szCs w:val="32"/>
        </w:rPr>
        <w:t>　村务公开栏的内容应当保持完整，并至少保留十五日；村民普遍关注、容易引发矛盾纠纷的事项，应当至少公开六个月。村务公开电子信息平台公布的内容应当长期保存。</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第十五条</w:t>
      </w:r>
      <w:r>
        <w:rPr>
          <w:rFonts w:hint="eastAsia" w:eastAsia="仿宋_GB2312"/>
          <w:color w:val="auto"/>
          <w:sz w:val="32"/>
          <w:szCs w:val="32"/>
        </w:rPr>
        <w:t>　村民委员会可以通过会议、座谈、意见箱、电话、广播电视、网络等形式征求村民对村务公开的意见，有条件的可以发行村情简报，接受村民对村务公开事项的询问并做好答复处理。</w:t>
      </w:r>
    </w:p>
    <w:p>
      <w:pPr>
        <w:spacing w:line="300" w:lineRule="auto"/>
        <w:jc w:val="center"/>
        <w:rPr>
          <w:rFonts w:eastAsia="黑体"/>
          <w:color w:val="auto"/>
          <w:sz w:val="32"/>
          <w:szCs w:val="32"/>
        </w:rPr>
      </w:pPr>
    </w:p>
    <w:p>
      <w:pPr>
        <w:spacing w:line="300" w:lineRule="auto"/>
        <w:jc w:val="center"/>
        <w:rPr>
          <w:rFonts w:hint="eastAsia" w:eastAsia="黑体"/>
          <w:color w:val="auto"/>
          <w:sz w:val="32"/>
          <w:szCs w:val="32"/>
        </w:rPr>
      </w:pPr>
      <w:r>
        <w:rPr>
          <w:rFonts w:hint="eastAsia" w:eastAsia="黑体"/>
          <w:color w:val="auto"/>
          <w:sz w:val="32"/>
          <w:szCs w:val="32"/>
        </w:rPr>
        <w:t>第三章　监督与保障</w:t>
      </w:r>
    </w:p>
    <w:p>
      <w:pPr>
        <w:spacing w:line="300" w:lineRule="auto"/>
        <w:jc w:val="center"/>
        <w:rPr>
          <w:rFonts w:eastAsia="黑体"/>
          <w:color w:val="auto"/>
          <w:sz w:val="32"/>
          <w:szCs w:val="32"/>
        </w:rPr>
      </w:pP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第十六条</w:t>
      </w:r>
      <w:r>
        <w:rPr>
          <w:rFonts w:hint="eastAsia" w:eastAsia="仿宋_GB2312"/>
          <w:color w:val="auto"/>
          <w:sz w:val="32"/>
          <w:szCs w:val="32"/>
        </w:rPr>
        <w:t>　村应当成立村务监督委员会，村务监督委员会向村民会议和村民代表会议负责，每半年至少报告一次工作，其成员可以列席村民委员会会议。</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村务监督委员会履行下列村务公开监督职责：</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（一）负责村民民主理财，监督村务公开等制度的落实；</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（二）审查村务公开的各项内容；</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（三）征求并反映村民对村务公开的意见和建议；</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（四）督促村民委员会对村民提出的意见和建议及时进行答复处理；</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（五）其他应当监督的事项。</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第十七条</w:t>
      </w:r>
      <w:r>
        <w:rPr>
          <w:rFonts w:hint="eastAsia" w:eastAsia="仿宋_GB2312"/>
          <w:color w:val="auto"/>
          <w:sz w:val="32"/>
          <w:szCs w:val="32"/>
        </w:rPr>
        <w:t>　村务监督委员会设主任、委员三至五人，由村民会议或者村民代表会议在有选举权的村民中推选产生；村民委员会成员以及其配偶、直系亲属不得担任村务监督委员会成员。</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第十八条</w:t>
      </w:r>
      <w:r>
        <w:rPr>
          <w:rFonts w:hint="eastAsia" w:eastAsia="仿宋_GB2312"/>
          <w:color w:val="auto"/>
          <w:sz w:val="32"/>
          <w:szCs w:val="32"/>
        </w:rPr>
        <w:t>　村务监督委员会与村民委员会任期相同，在村民委员会换届选举完成后，应当及时推选产生新一届村务监督委员会。村务监督委员会成员出现缺额时，应当及时补选。</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第十九条</w:t>
      </w:r>
      <w:r>
        <w:rPr>
          <w:rFonts w:hint="eastAsia" w:eastAsia="仿宋_GB2312"/>
          <w:color w:val="auto"/>
          <w:sz w:val="32"/>
          <w:szCs w:val="32"/>
        </w:rPr>
        <w:t>　村务监督委员会成员应当遵守法律、法规，办事公道正派，维护集体利益，热心为村民服务，具有一定的议事能力。村务监督委员会应当配备具有财会、管理知识的人员。</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第二十条</w:t>
      </w:r>
      <w:r>
        <w:rPr>
          <w:rFonts w:hint="eastAsia" w:eastAsia="仿宋_GB2312"/>
          <w:color w:val="auto"/>
          <w:sz w:val="32"/>
          <w:szCs w:val="32"/>
        </w:rPr>
        <w:t>　村民对村务公开的内容有意见的，可以口头或者书面向村务监督委员会或者村民委员会投诉。村务监督委员会对村民反映的问题应当及时进行调查，确有内容遗漏或者不真实的，应当督促村民委员会及时纠正并重新公布；村民委员会对村民或者村务监督委员会反映的情况，应当自受理之日起五日内予以答复或者纠正。</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村务监督委员会对村务公开的内容有意见的，应当向村民委员会提出书面意见，村民委员会应当自收到意见之日起五日内给予书面答复或者纠正。</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村民、村务监督委员会对村民委员会的答复或者纠正结果不满意的，可以向镇人民政府、街道办事处或者区（县）人民政府相关主管部门投诉并申请调查处理，有关机关或者部门应当自收到申请之日起三十日内调查处理完毕并给予书面答复。</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第二十一条</w:t>
      </w:r>
      <w:r>
        <w:rPr>
          <w:rFonts w:hint="eastAsia" w:eastAsia="仿宋_GB2312"/>
          <w:color w:val="auto"/>
          <w:sz w:val="32"/>
          <w:szCs w:val="32"/>
        </w:rPr>
        <w:t>　村民委员会应当健全村务公开档案管理制度，依法建立本村村务公开档案，并统一妥善保管，以便查阅。村务公开档案资料应当真实、准确、完整、规范，保管期限与村务档案相同。</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第二十二条</w:t>
      </w:r>
      <w:r>
        <w:rPr>
          <w:rFonts w:hint="eastAsia" w:eastAsia="仿宋_GB2312"/>
          <w:color w:val="auto"/>
          <w:sz w:val="32"/>
          <w:szCs w:val="32"/>
        </w:rPr>
        <w:t>　任何组织和个人不得违法干预村务公开，不得妨碍村务监督委员会依法履行职责。</w:t>
      </w:r>
    </w:p>
    <w:p>
      <w:pPr>
        <w:spacing w:line="300" w:lineRule="auto"/>
        <w:jc w:val="center"/>
        <w:rPr>
          <w:rFonts w:eastAsia="黑体"/>
          <w:color w:val="auto"/>
          <w:sz w:val="32"/>
          <w:szCs w:val="32"/>
        </w:rPr>
      </w:pPr>
    </w:p>
    <w:p>
      <w:pPr>
        <w:spacing w:line="300" w:lineRule="auto"/>
        <w:jc w:val="center"/>
        <w:rPr>
          <w:rFonts w:hint="eastAsia" w:eastAsia="黑体"/>
          <w:color w:val="auto"/>
          <w:sz w:val="32"/>
          <w:szCs w:val="32"/>
        </w:rPr>
      </w:pPr>
      <w:r>
        <w:rPr>
          <w:rFonts w:hint="eastAsia" w:eastAsia="黑体"/>
          <w:color w:val="auto"/>
          <w:sz w:val="32"/>
          <w:szCs w:val="32"/>
        </w:rPr>
        <w:t>第四章　法律责任</w:t>
      </w:r>
    </w:p>
    <w:p>
      <w:pPr>
        <w:spacing w:line="300" w:lineRule="auto"/>
        <w:jc w:val="center"/>
        <w:rPr>
          <w:rFonts w:eastAsia="黑体"/>
          <w:color w:val="auto"/>
          <w:sz w:val="32"/>
          <w:szCs w:val="32"/>
        </w:rPr>
      </w:pP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第二十三条</w:t>
      </w:r>
      <w:r>
        <w:rPr>
          <w:rFonts w:hint="eastAsia" w:eastAsia="仿宋_GB2312"/>
          <w:color w:val="auto"/>
          <w:sz w:val="32"/>
          <w:szCs w:val="32"/>
        </w:rPr>
        <w:t>　村民委员会成员违反本条例规定，有下列情形之一的，由镇人民政府、街道办事处或者市、区（县）人民政府民政部门给予批评教育，责令限期改正，并可以停止发放相关责任人财政补贴；拒不改正或者情节严重的，可以建议对相关责任人依法提起罢免程序：</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（一）不依法实施村务公开的；</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（二）不依法答复村务公开意见的；</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（三）违法干预村务公开或者妨碍对村务公开监督的；</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（四）对向村务公开提出异议的村民实施打击报复的；</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（五）不依法建立或者损毁村务公开档案的；</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（六）弄虚作假的；</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（七）其他违反村务公开规定的。</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第二十四条</w:t>
      </w:r>
      <w:r>
        <w:rPr>
          <w:rFonts w:hint="eastAsia" w:eastAsia="仿宋_GB2312"/>
          <w:color w:val="auto"/>
          <w:sz w:val="32"/>
          <w:szCs w:val="32"/>
        </w:rPr>
        <w:t>　村务监督委员会成员失职的，可以由村民会议或者村民代表会议决定终止其成员资格。</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第二十五条</w:t>
      </w:r>
      <w:r>
        <w:rPr>
          <w:rFonts w:hint="eastAsia" w:eastAsia="仿宋_GB2312"/>
          <w:color w:val="auto"/>
          <w:sz w:val="32"/>
          <w:szCs w:val="32"/>
        </w:rPr>
        <w:t>　市、区（县）、镇人民政府、街道办事处或者有关部门的工作人员违反本条例有关规定的，由同级人民政府或者有关部门给予问责；情节严重的，依法给予行政处分。</w:t>
      </w:r>
    </w:p>
    <w:p>
      <w:pPr>
        <w:spacing w:line="300" w:lineRule="auto"/>
        <w:jc w:val="center"/>
        <w:rPr>
          <w:rFonts w:eastAsia="黑体"/>
          <w:color w:val="auto"/>
          <w:sz w:val="32"/>
          <w:szCs w:val="32"/>
        </w:rPr>
      </w:pPr>
    </w:p>
    <w:p>
      <w:pPr>
        <w:spacing w:line="300" w:lineRule="auto"/>
        <w:jc w:val="center"/>
        <w:rPr>
          <w:rFonts w:hint="eastAsia" w:eastAsia="黑体"/>
          <w:color w:val="auto"/>
          <w:sz w:val="32"/>
          <w:szCs w:val="32"/>
        </w:rPr>
      </w:pPr>
      <w:r>
        <w:rPr>
          <w:rFonts w:hint="eastAsia" w:eastAsia="黑体"/>
          <w:color w:val="auto"/>
          <w:sz w:val="32"/>
          <w:szCs w:val="32"/>
        </w:rPr>
        <w:t>第五章　附则</w:t>
      </w:r>
    </w:p>
    <w:p>
      <w:pPr>
        <w:spacing w:line="300" w:lineRule="auto"/>
        <w:jc w:val="center"/>
        <w:rPr>
          <w:rFonts w:eastAsia="黑体"/>
          <w:color w:val="auto"/>
          <w:sz w:val="32"/>
          <w:szCs w:val="32"/>
        </w:rPr>
      </w:pP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第二十六条</w:t>
      </w:r>
      <w:r>
        <w:rPr>
          <w:rFonts w:hint="eastAsia" w:eastAsia="仿宋_GB2312"/>
          <w:color w:val="auto"/>
          <w:sz w:val="32"/>
          <w:szCs w:val="32"/>
        </w:rPr>
        <w:t>　特区范围内集体经济未剥离的“村改居”社区、集体经济已剥离的“村改居”社区的集体经济组织的村务公开工作，依照本条例执行。</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特区范围内具有独立集体经济的村（居）民小组，参照本条例实行组务公开。</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第二十七条</w:t>
      </w:r>
      <w:r>
        <w:rPr>
          <w:rFonts w:hint="eastAsia" w:eastAsia="仿宋_GB2312"/>
          <w:color w:val="auto"/>
          <w:sz w:val="32"/>
          <w:szCs w:val="32"/>
        </w:rPr>
        <w:t>　本条例自2014年7月1日起施行。</w:t>
      </w:r>
    </w:p>
    <w:p>
      <w:pPr>
        <w:spacing w:line="300" w:lineRule="auto"/>
        <w:ind w:firstLine="632" w:firstLineChars="200"/>
        <w:rPr>
          <w:rFonts w:hint="eastAsia" w:eastAsia="仿宋_GB2312"/>
          <w:color w:val="auto"/>
          <w:sz w:val="32"/>
          <w:szCs w:val="32"/>
        </w:rPr>
      </w:pPr>
    </w:p>
    <w:sectPr>
      <w:footerReference r:id="rId3" w:type="default"/>
      <w:footerReference r:id="rId4" w:type="even"/>
      <w:pgSz w:w="11906" w:h="16838"/>
      <w:pgMar w:top="2041" w:right="1531" w:bottom="2041" w:left="1531" w:header="851" w:footer="1587" w:gutter="0"/>
      <w:paperSrc/>
      <w:pgNumType w:fmt="numberInDash"/>
      <w:cols w:space="720" w:num="1"/>
      <w:rtlGutter w:val="0"/>
      <w:docGrid w:type="linesAndChars" w:linePitch="455" w:charSpace="-88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Courier New">
    <w:panose1 w:val="02070309020205020404"/>
    <w:charset w:val="00"/>
    <w:family w:val="modern"/>
    <w:pitch w:val="default"/>
    <w:sig w:usb0="00007A87" w:usb1="80000000" w:usb2="00000008" w:usb3="00000000" w:csb0="400001FF" w:csb1="FFFF0000"/>
  </w:font>
  <w:font w:name="Verdana">
    <w:panose1 w:val="020B0604030504040204"/>
    <w:charset w:val="00"/>
    <w:family w:val="swiss"/>
    <w:pitch w:val="default"/>
    <w:sig w:usb0="00000287" w:usb1="00000000" w:usb2="00000000" w:usb3="00000000" w:csb0="2000019F" w:csb1="00000000"/>
  </w:font>
  <w:font w:name="_x000B__x000C_">
    <w:altName w:val="Times New Roman"/>
    <w:panose1 w:val="00000000000000000000"/>
    <w:charset w:val="00"/>
    <w:family w:val="roman"/>
    <w:pitch w:val="default"/>
    <w:sig w:usb0="00000000" w:usb1="00000000" w:usb2="00000000" w:usb3="00000000" w:csb0="00040001"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AAAAAZHJzL1BL&#10;AQIUABQAAAAIAIdO4kBoaYJL0wAAAAUBAAAPAAAAAAAAAAEAIAAAACIAAABkcnMvZG93bnJldi54&#10;bWxQSwECFAAUAAAACACHTuJAEDlfU8YBAABsAwAADgAAAAAAAAABACAAAAAiAQAAZHJzL2Uyb0Rv&#10;Yy54bWxQSwUGAAAAAAYABgBZAQAAWgUAAAAA&#10;">
              <v:fill on="f" focussize="0,0"/>
              <v:stroke on="f" weight="1.2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framePr w:wrap="around" w:vAnchor="text" w:hAnchor="margin" w:xAlign="center" w:y="1"/>
      <w:rPr>
        <w:rStyle w:val="18"/>
        <w:color w:val="000080"/>
      </w:rPr>
    </w:pPr>
    <w:r>
      <w:rPr>
        <w:color w:val="000080"/>
      </w:rPr>
      <w:fldChar w:fldCharType="begin"/>
    </w:r>
    <w:r>
      <w:rPr>
        <w:rStyle w:val="18"/>
        <w:color w:val="000080"/>
      </w:rPr>
      <w:instrText xml:space="preserve">PAGE  </w:instrText>
    </w:r>
    <w:r>
      <w:rPr>
        <w:color w:val="000080"/>
      </w:rPr>
      <w:fldChar w:fldCharType="separate"/>
    </w:r>
    <w:r>
      <w:rPr>
        <w:rStyle w:val="18"/>
        <w:color w:val="000080"/>
        <w:lang/>
      </w:rPr>
      <w:t>1619</w:t>
    </w:r>
    <w:r>
      <w:rPr>
        <w:color w:val="000080"/>
      </w:rPr>
      <w:fldChar w:fldCharType="end"/>
    </w:r>
  </w:p>
  <w:p>
    <w:pPr>
      <w:pStyle w:val="10"/>
      <w:ind w:right="360" w:firstLine="360"/>
      <w:rPr>
        <w:color w:val="000080"/>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0"/>
  <w:hyphenationZone w:val="360"/>
  <w:drawingGridHorizontalSpacing w:val="103"/>
  <w:drawingGridVerticalSpacing w:val="228"/>
  <w:displayHorizontalDrawingGridEvery w:val="2"/>
  <w:displayVerticalDrawingGridEvery w:val="2"/>
  <w:noPunctuationKerning w:val="1"/>
  <w:characterSpacingControl w:val="compressPunctuation"/>
  <w:noLineBreaksAfter w:lang="zh-CN" w:val="([{·‘“〈《「『【〔〖（．［｛￡￥"/>
  <w:noLineBreaksBefore w:lang="zh-CN" w:val="!),.:;?]}¨·ˇˉ―‖’”…∶、。〃々〉》」』】〕〗！＂＇），．：；？］｀｜｝～￠"/>
  <w:doNotValidateAgainstSchema/>
  <w:doNotDemarcateInvalidXml/>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07C8"/>
    <w:rsid w:val="000008CC"/>
    <w:rsid w:val="00004FAE"/>
    <w:rsid w:val="00023782"/>
    <w:rsid w:val="00026ACE"/>
    <w:rsid w:val="000376BE"/>
    <w:rsid w:val="0004601D"/>
    <w:rsid w:val="0006016F"/>
    <w:rsid w:val="00086A34"/>
    <w:rsid w:val="00096834"/>
    <w:rsid w:val="000A69B1"/>
    <w:rsid w:val="000B4EAD"/>
    <w:rsid w:val="000E378B"/>
    <w:rsid w:val="000F4EF2"/>
    <w:rsid w:val="00100222"/>
    <w:rsid w:val="001049A5"/>
    <w:rsid w:val="00107D5C"/>
    <w:rsid w:val="00111A63"/>
    <w:rsid w:val="001154C2"/>
    <w:rsid w:val="00121C2F"/>
    <w:rsid w:val="00125260"/>
    <w:rsid w:val="00132242"/>
    <w:rsid w:val="00142FA9"/>
    <w:rsid w:val="00145E3C"/>
    <w:rsid w:val="00146397"/>
    <w:rsid w:val="00156BEC"/>
    <w:rsid w:val="001604B8"/>
    <w:rsid w:val="00184EB8"/>
    <w:rsid w:val="001A2361"/>
    <w:rsid w:val="001A26D8"/>
    <w:rsid w:val="001A7497"/>
    <w:rsid w:val="001D2262"/>
    <w:rsid w:val="001E1616"/>
    <w:rsid w:val="001F07C7"/>
    <w:rsid w:val="001F436E"/>
    <w:rsid w:val="00201FB6"/>
    <w:rsid w:val="0022531A"/>
    <w:rsid w:val="0023335A"/>
    <w:rsid w:val="002347B4"/>
    <w:rsid w:val="0023549C"/>
    <w:rsid w:val="00236C12"/>
    <w:rsid w:val="00243420"/>
    <w:rsid w:val="002436C7"/>
    <w:rsid w:val="002439AD"/>
    <w:rsid w:val="002458FD"/>
    <w:rsid w:val="00247B48"/>
    <w:rsid w:val="00257682"/>
    <w:rsid w:val="00261B8A"/>
    <w:rsid w:val="002726C5"/>
    <w:rsid w:val="00272D7A"/>
    <w:rsid w:val="00277E63"/>
    <w:rsid w:val="00280057"/>
    <w:rsid w:val="002807C9"/>
    <w:rsid w:val="0028182B"/>
    <w:rsid w:val="00292B0D"/>
    <w:rsid w:val="0029391B"/>
    <w:rsid w:val="0029460B"/>
    <w:rsid w:val="002A0BEC"/>
    <w:rsid w:val="002C4979"/>
    <w:rsid w:val="002C568F"/>
    <w:rsid w:val="002F6904"/>
    <w:rsid w:val="00300863"/>
    <w:rsid w:val="00301B94"/>
    <w:rsid w:val="003121F7"/>
    <w:rsid w:val="00314754"/>
    <w:rsid w:val="00321D34"/>
    <w:rsid w:val="00326C4C"/>
    <w:rsid w:val="0033422E"/>
    <w:rsid w:val="00355A13"/>
    <w:rsid w:val="00361786"/>
    <w:rsid w:val="003722EB"/>
    <w:rsid w:val="003742CB"/>
    <w:rsid w:val="003751A5"/>
    <w:rsid w:val="00377E03"/>
    <w:rsid w:val="003B5D91"/>
    <w:rsid w:val="003B66F8"/>
    <w:rsid w:val="003D0AA9"/>
    <w:rsid w:val="003F53C2"/>
    <w:rsid w:val="0040032A"/>
    <w:rsid w:val="00405F60"/>
    <w:rsid w:val="00413CB6"/>
    <w:rsid w:val="00450FA3"/>
    <w:rsid w:val="0045703B"/>
    <w:rsid w:val="004613F8"/>
    <w:rsid w:val="00463182"/>
    <w:rsid w:val="0047028C"/>
    <w:rsid w:val="004735F6"/>
    <w:rsid w:val="00475D6E"/>
    <w:rsid w:val="00477A32"/>
    <w:rsid w:val="00490A77"/>
    <w:rsid w:val="0049427E"/>
    <w:rsid w:val="00495C24"/>
    <w:rsid w:val="004A7D6F"/>
    <w:rsid w:val="004B3242"/>
    <w:rsid w:val="004B493C"/>
    <w:rsid w:val="004C78B5"/>
    <w:rsid w:val="004D2A26"/>
    <w:rsid w:val="004E059F"/>
    <w:rsid w:val="004E6F60"/>
    <w:rsid w:val="005108F6"/>
    <w:rsid w:val="00510F0A"/>
    <w:rsid w:val="00515A3B"/>
    <w:rsid w:val="005221DD"/>
    <w:rsid w:val="00526E56"/>
    <w:rsid w:val="00535859"/>
    <w:rsid w:val="00541263"/>
    <w:rsid w:val="00546BA9"/>
    <w:rsid w:val="00554D98"/>
    <w:rsid w:val="0056107A"/>
    <w:rsid w:val="005709A1"/>
    <w:rsid w:val="0057739E"/>
    <w:rsid w:val="00580CBE"/>
    <w:rsid w:val="005853D2"/>
    <w:rsid w:val="00591897"/>
    <w:rsid w:val="00594E98"/>
    <w:rsid w:val="005A7956"/>
    <w:rsid w:val="005C77A5"/>
    <w:rsid w:val="005F2E0A"/>
    <w:rsid w:val="005F4A7F"/>
    <w:rsid w:val="005F4A9D"/>
    <w:rsid w:val="00601090"/>
    <w:rsid w:val="0061348B"/>
    <w:rsid w:val="00613EA2"/>
    <w:rsid w:val="00617792"/>
    <w:rsid w:val="00623B2F"/>
    <w:rsid w:val="006269EF"/>
    <w:rsid w:val="00640D0C"/>
    <w:rsid w:val="006560D1"/>
    <w:rsid w:val="0065716D"/>
    <w:rsid w:val="00676FAC"/>
    <w:rsid w:val="006770D4"/>
    <w:rsid w:val="006813F1"/>
    <w:rsid w:val="006824FB"/>
    <w:rsid w:val="00687AD8"/>
    <w:rsid w:val="006A1F81"/>
    <w:rsid w:val="006A6BCA"/>
    <w:rsid w:val="006B6A66"/>
    <w:rsid w:val="006C436A"/>
    <w:rsid w:val="006D3623"/>
    <w:rsid w:val="006E0926"/>
    <w:rsid w:val="006F4318"/>
    <w:rsid w:val="006F6DED"/>
    <w:rsid w:val="007111F6"/>
    <w:rsid w:val="00713067"/>
    <w:rsid w:val="00734252"/>
    <w:rsid w:val="007351C0"/>
    <w:rsid w:val="0074039C"/>
    <w:rsid w:val="0074083C"/>
    <w:rsid w:val="0074151C"/>
    <w:rsid w:val="00755ABD"/>
    <w:rsid w:val="00757550"/>
    <w:rsid w:val="00780DBC"/>
    <w:rsid w:val="00783936"/>
    <w:rsid w:val="00795EDE"/>
    <w:rsid w:val="007A6D7E"/>
    <w:rsid w:val="007B4954"/>
    <w:rsid w:val="007B6AF8"/>
    <w:rsid w:val="007C1817"/>
    <w:rsid w:val="007C2A26"/>
    <w:rsid w:val="007D5098"/>
    <w:rsid w:val="007E1A1C"/>
    <w:rsid w:val="007F316F"/>
    <w:rsid w:val="00802ABB"/>
    <w:rsid w:val="00821999"/>
    <w:rsid w:val="00825F90"/>
    <w:rsid w:val="00834D10"/>
    <w:rsid w:val="0084128F"/>
    <w:rsid w:val="0085016C"/>
    <w:rsid w:val="0086496F"/>
    <w:rsid w:val="00864BB3"/>
    <w:rsid w:val="0088128E"/>
    <w:rsid w:val="0088724E"/>
    <w:rsid w:val="00887797"/>
    <w:rsid w:val="00891E9A"/>
    <w:rsid w:val="0089615C"/>
    <w:rsid w:val="008A148D"/>
    <w:rsid w:val="008A4AEC"/>
    <w:rsid w:val="008A7CEE"/>
    <w:rsid w:val="008B06AD"/>
    <w:rsid w:val="008B7EBF"/>
    <w:rsid w:val="008C2981"/>
    <w:rsid w:val="008D0C93"/>
    <w:rsid w:val="008D4FD2"/>
    <w:rsid w:val="008E4E3D"/>
    <w:rsid w:val="008E68B1"/>
    <w:rsid w:val="008E6FA7"/>
    <w:rsid w:val="00903A70"/>
    <w:rsid w:val="00911D8E"/>
    <w:rsid w:val="0092003B"/>
    <w:rsid w:val="009259D6"/>
    <w:rsid w:val="00945BC2"/>
    <w:rsid w:val="00946CC7"/>
    <w:rsid w:val="00957CFE"/>
    <w:rsid w:val="00960450"/>
    <w:rsid w:val="00967A95"/>
    <w:rsid w:val="009730EA"/>
    <w:rsid w:val="00974BD1"/>
    <w:rsid w:val="00976062"/>
    <w:rsid w:val="00982DF5"/>
    <w:rsid w:val="00992DF3"/>
    <w:rsid w:val="00993DA2"/>
    <w:rsid w:val="00994477"/>
    <w:rsid w:val="0099777C"/>
    <w:rsid w:val="009B2D7A"/>
    <w:rsid w:val="009D7A15"/>
    <w:rsid w:val="00A16C47"/>
    <w:rsid w:val="00A24959"/>
    <w:rsid w:val="00A27CAB"/>
    <w:rsid w:val="00A43475"/>
    <w:rsid w:val="00A503D0"/>
    <w:rsid w:val="00A51519"/>
    <w:rsid w:val="00A535B2"/>
    <w:rsid w:val="00A6609B"/>
    <w:rsid w:val="00A6728E"/>
    <w:rsid w:val="00A67542"/>
    <w:rsid w:val="00A67F42"/>
    <w:rsid w:val="00A9628D"/>
    <w:rsid w:val="00AA37C7"/>
    <w:rsid w:val="00AB13F3"/>
    <w:rsid w:val="00AC53BE"/>
    <w:rsid w:val="00AD571C"/>
    <w:rsid w:val="00AE0250"/>
    <w:rsid w:val="00AE4253"/>
    <w:rsid w:val="00AE53DE"/>
    <w:rsid w:val="00AE6F62"/>
    <w:rsid w:val="00AF3926"/>
    <w:rsid w:val="00AF3EF5"/>
    <w:rsid w:val="00AF6EE8"/>
    <w:rsid w:val="00B14D5A"/>
    <w:rsid w:val="00B20B1C"/>
    <w:rsid w:val="00B229C2"/>
    <w:rsid w:val="00B42FF3"/>
    <w:rsid w:val="00B458DE"/>
    <w:rsid w:val="00B473DB"/>
    <w:rsid w:val="00B5151E"/>
    <w:rsid w:val="00B5278F"/>
    <w:rsid w:val="00B53767"/>
    <w:rsid w:val="00B54C76"/>
    <w:rsid w:val="00B6153F"/>
    <w:rsid w:val="00B6406A"/>
    <w:rsid w:val="00B74908"/>
    <w:rsid w:val="00B74E59"/>
    <w:rsid w:val="00B80CEC"/>
    <w:rsid w:val="00B84247"/>
    <w:rsid w:val="00B92F11"/>
    <w:rsid w:val="00B9636E"/>
    <w:rsid w:val="00BA7579"/>
    <w:rsid w:val="00BD3BAC"/>
    <w:rsid w:val="00BF28E8"/>
    <w:rsid w:val="00BF2FB8"/>
    <w:rsid w:val="00BF6D1A"/>
    <w:rsid w:val="00C01315"/>
    <w:rsid w:val="00C019D3"/>
    <w:rsid w:val="00C278BB"/>
    <w:rsid w:val="00C40D30"/>
    <w:rsid w:val="00C44E21"/>
    <w:rsid w:val="00C45709"/>
    <w:rsid w:val="00C5605C"/>
    <w:rsid w:val="00C57209"/>
    <w:rsid w:val="00C623CD"/>
    <w:rsid w:val="00C735C3"/>
    <w:rsid w:val="00C76109"/>
    <w:rsid w:val="00C82CD8"/>
    <w:rsid w:val="00C82E72"/>
    <w:rsid w:val="00C9209E"/>
    <w:rsid w:val="00CA62AA"/>
    <w:rsid w:val="00CD5A82"/>
    <w:rsid w:val="00CD5ED0"/>
    <w:rsid w:val="00CE365D"/>
    <w:rsid w:val="00CE4055"/>
    <w:rsid w:val="00CE5153"/>
    <w:rsid w:val="00CF0316"/>
    <w:rsid w:val="00CF1048"/>
    <w:rsid w:val="00D04022"/>
    <w:rsid w:val="00D10DA2"/>
    <w:rsid w:val="00D1606A"/>
    <w:rsid w:val="00D30C62"/>
    <w:rsid w:val="00D40239"/>
    <w:rsid w:val="00D6391B"/>
    <w:rsid w:val="00D719F9"/>
    <w:rsid w:val="00D74034"/>
    <w:rsid w:val="00D93428"/>
    <w:rsid w:val="00DB137B"/>
    <w:rsid w:val="00DD5E3B"/>
    <w:rsid w:val="00DD7BA7"/>
    <w:rsid w:val="00DD7D33"/>
    <w:rsid w:val="00E06E14"/>
    <w:rsid w:val="00E1061E"/>
    <w:rsid w:val="00E1612A"/>
    <w:rsid w:val="00E27AC6"/>
    <w:rsid w:val="00E41A07"/>
    <w:rsid w:val="00E437A8"/>
    <w:rsid w:val="00E46D2D"/>
    <w:rsid w:val="00E70515"/>
    <w:rsid w:val="00E713C0"/>
    <w:rsid w:val="00E7327C"/>
    <w:rsid w:val="00E80C03"/>
    <w:rsid w:val="00E91F6C"/>
    <w:rsid w:val="00E92A04"/>
    <w:rsid w:val="00EA0BAE"/>
    <w:rsid w:val="00EA3F19"/>
    <w:rsid w:val="00EB5893"/>
    <w:rsid w:val="00EC0B6E"/>
    <w:rsid w:val="00ED3D4D"/>
    <w:rsid w:val="00EE081B"/>
    <w:rsid w:val="00EE6E60"/>
    <w:rsid w:val="00EF50FE"/>
    <w:rsid w:val="00F048B5"/>
    <w:rsid w:val="00F05392"/>
    <w:rsid w:val="00F0628E"/>
    <w:rsid w:val="00F1282C"/>
    <w:rsid w:val="00F218FB"/>
    <w:rsid w:val="00F27CC2"/>
    <w:rsid w:val="00F42606"/>
    <w:rsid w:val="00F4282E"/>
    <w:rsid w:val="00F570C9"/>
    <w:rsid w:val="00F57185"/>
    <w:rsid w:val="00F61622"/>
    <w:rsid w:val="00F62002"/>
    <w:rsid w:val="00F62F3A"/>
    <w:rsid w:val="00F642FE"/>
    <w:rsid w:val="00F81C22"/>
    <w:rsid w:val="00F8469B"/>
    <w:rsid w:val="00F94926"/>
    <w:rsid w:val="00FA2470"/>
    <w:rsid w:val="00FB0A7B"/>
    <w:rsid w:val="00FB27C3"/>
    <w:rsid w:val="00FC25DD"/>
    <w:rsid w:val="00FC414D"/>
    <w:rsid w:val="00FE2C4C"/>
    <w:rsid w:val="00FE7298"/>
    <w:rsid w:val="082D2B7C"/>
    <w:rsid w:val="098E0A98"/>
    <w:rsid w:val="0CF50448"/>
    <w:rsid w:val="0E700FCE"/>
    <w:rsid w:val="0E863305"/>
    <w:rsid w:val="10154EB8"/>
    <w:rsid w:val="14105636"/>
    <w:rsid w:val="15642A5F"/>
    <w:rsid w:val="1B8B4932"/>
    <w:rsid w:val="1DD21154"/>
    <w:rsid w:val="24470E8A"/>
    <w:rsid w:val="26560BEA"/>
    <w:rsid w:val="3192435A"/>
    <w:rsid w:val="3313602A"/>
    <w:rsid w:val="36354074"/>
    <w:rsid w:val="3C762673"/>
    <w:rsid w:val="3E3068D7"/>
    <w:rsid w:val="3EAA6925"/>
    <w:rsid w:val="469D1139"/>
    <w:rsid w:val="4A182E02"/>
    <w:rsid w:val="4AF838F1"/>
    <w:rsid w:val="4C365501"/>
    <w:rsid w:val="53E75B8E"/>
    <w:rsid w:val="54D16565"/>
    <w:rsid w:val="58160D1A"/>
    <w:rsid w:val="65EB0FA6"/>
    <w:rsid w:val="68E82569"/>
    <w:rsid w:val="6FB21332"/>
    <w:rsid w:val="73C3378D"/>
    <w:rsid w:val="7F912303"/>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4"/>
      <w:lang w:val="en-US" w:eastAsia="zh-CN" w:bidi="ar-SA"/>
    </w:rPr>
  </w:style>
  <w:style w:type="paragraph" w:styleId="2">
    <w:name w:val="heading 1"/>
    <w:basedOn w:val="1"/>
    <w:next w:val="1"/>
    <w:qFormat/>
    <w:uiPriority w:val="0"/>
    <w:pPr>
      <w:keepNext/>
      <w:keepLines/>
      <w:spacing w:before="340" w:beforeLines="0" w:after="330" w:afterLines="0" w:line="578" w:lineRule="auto"/>
      <w:outlineLvl w:val="0"/>
    </w:pPr>
    <w:rPr>
      <w:b/>
      <w:bCs/>
      <w:kern w:val="44"/>
      <w:sz w:val="44"/>
      <w:szCs w:val="44"/>
    </w:rPr>
  </w:style>
  <w:style w:type="character" w:default="1" w:styleId="16">
    <w:name w:val="Default Paragraph Font"/>
    <w:semiHidden/>
    <w:uiPriority w:val="0"/>
  </w:style>
  <w:style w:type="table" w:default="1" w:styleId="20">
    <w:name w:val="Normal Table"/>
    <w:semiHidden/>
    <w:uiPriority w:val="0"/>
    <w:tblPr>
      <w:tblStyle w:val="20"/>
      <w:tblLayout w:type="fixed"/>
      <w:tblCellMar>
        <w:top w:w="0" w:type="dxa"/>
        <w:left w:w="108" w:type="dxa"/>
        <w:bottom w:w="0" w:type="dxa"/>
        <w:right w:w="108" w:type="dxa"/>
      </w:tblCellMar>
    </w:tblPr>
    <w:tcPr>
      <w:textDirection w:val="lrTb"/>
    </w:tcPr>
  </w:style>
  <w:style w:type="paragraph" w:styleId="3">
    <w:name w:val="Document Map"/>
    <w:basedOn w:val="1"/>
    <w:semiHidden/>
    <w:uiPriority w:val="0"/>
    <w:pPr>
      <w:shd w:val="clear" w:color="auto" w:fill="000080"/>
    </w:pPr>
  </w:style>
  <w:style w:type="paragraph" w:styleId="4">
    <w:name w:val="Body Text"/>
    <w:basedOn w:val="1"/>
    <w:uiPriority w:val="0"/>
    <w:pPr>
      <w:jc w:val="center"/>
    </w:pPr>
    <w:rPr>
      <w:rFonts w:ascii="仿宋_GB2312"/>
      <w:sz w:val="44"/>
    </w:rPr>
  </w:style>
  <w:style w:type="paragraph" w:styleId="5">
    <w:name w:val="Body Text Indent"/>
    <w:basedOn w:val="1"/>
    <w:uiPriority w:val="0"/>
    <w:pPr>
      <w:ind w:firstLine="640" w:firstLineChars="200"/>
    </w:pPr>
    <w:rPr>
      <w:sz w:val="32"/>
    </w:rPr>
  </w:style>
  <w:style w:type="paragraph" w:styleId="6">
    <w:name w:val="Plain Text"/>
    <w:basedOn w:val="1"/>
    <w:uiPriority w:val="0"/>
    <w:rPr>
      <w:rFonts w:ascii="Courier New" w:hAnsi="Courier New" w:eastAsia="仿宋_GB2312"/>
      <w:szCs w:val="20"/>
    </w:rPr>
  </w:style>
  <w:style w:type="paragraph" w:styleId="7">
    <w:name w:val="Date"/>
    <w:basedOn w:val="1"/>
    <w:next w:val="1"/>
    <w:uiPriority w:val="0"/>
    <w:pPr>
      <w:ind w:left="100" w:leftChars="2500"/>
    </w:pPr>
  </w:style>
  <w:style w:type="paragraph" w:styleId="8">
    <w:name w:val="Body Text Indent 2"/>
    <w:basedOn w:val="1"/>
    <w:uiPriority w:val="0"/>
    <w:pPr>
      <w:spacing w:line="300" w:lineRule="auto"/>
      <w:ind w:firstLine="645"/>
    </w:pPr>
    <w:rPr>
      <w:rFonts w:ascii="仿宋_GB2312" w:eastAsia="仿宋_GB2312"/>
      <w:sz w:val="32"/>
      <w:szCs w:val="20"/>
    </w:rPr>
  </w:style>
  <w:style w:type="paragraph" w:styleId="9">
    <w:name w:val="Balloon Text"/>
    <w:basedOn w:val="1"/>
    <w:semiHidden/>
    <w:uiPriority w:val="0"/>
    <w:rPr>
      <w:sz w:val="18"/>
      <w:szCs w:val="18"/>
    </w:rPr>
  </w:style>
  <w:style w:type="paragraph" w:styleId="10">
    <w:name w:val="footer"/>
    <w:basedOn w:val="1"/>
    <w:uiPriority w:val="0"/>
    <w:pPr>
      <w:tabs>
        <w:tab w:val="center" w:pos="4153"/>
        <w:tab w:val="right" w:pos="8306"/>
      </w:tabs>
      <w:snapToGrid w:val="0"/>
      <w:jc w:val="left"/>
    </w:pPr>
    <w:rPr>
      <w:sz w:val="18"/>
      <w:szCs w:val="18"/>
    </w:rPr>
  </w:style>
  <w:style w:type="paragraph" w:styleId="11">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12">
    <w:name w:val="Body Text Indent 3"/>
    <w:basedOn w:val="1"/>
    <w:uiPriority w:val="0"/>
    <w:pPr>
      <w:ind w:firstLine="509"/>
    </w:pPr>
    <w:rPr>
      <w:rFonts w:ascii="仿宋_GB2312" w:eastAsia="仿宋_GB2312"/>
      <w:sz w:val="32"/>
    </w:rPr>
  </w:style>
  <w:style w:type="paragraph" w:styleId="13">
    <w:name w:val="Body Text 2"/>
    <w:basedOn w:val="1"/>
    <w:uiPriority w:val="0"/>
    <w:pPr>
      <w:ind w:right="-466" w:rightChars="-222"/>
      <w:jc w:val="center"/>
    </w:pPr>
    <w:rPr>
      <w:rFonts w:ascii="宋体"/>
      <w:sz w:val="44"/>
    </w:rPr>
  </w:style>
  <w:style w:type="paragraph" w:styleId="14">
    <w:name w:val="HTML Preformatted"/>
    <w:basedOn w:val="1"/>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paragraph" w:styleId="15">
    <w:name w:val="Normal (Web)"/>
    <w:basedOn w:val="1"/>
    <w:uiPriority w:val="0"/>
    <w:pPr>
      <w:widowControl/>
      <w:spacing w:before="100" w:beforeLines="0" w:beforeAutospacing="1" w:after="100" w:afterLines="0" w:afterAutospacing="1"/>
      <w:jc w:val="left"/>
    </w:pPr>
    <w:rPr>
      <w:rFonts w:ascii="宋体" w:hAnsi="宋体" w:cs="宋体"/>
      <w:color w:val="000000"/>
      <w:kern w:val="0"/>
      <w:sz w:val="24"/>
    </w:rPr>
  </w:style>
  <w:style w:type="character" w:styleId="17">
    <w:name w:val="Strong"/>
    <w:basedOn w:val="16"/>
    <w:qFormat/>
    <w:uiPriority w:val="0"/>
    <w:rPr>
      <w:b/>
      <w:bCs/>
    </w:rPr>
  </w:style>
  <w:style w:type="character" w:styleId="18">
    <w:name w:val="page number"/>
    <w:basedOn w:val="16"/>
    <w:uiPriority w:val="0"/>
  </w:style>
  <w:style w:type="character" w:styleId="19">
    <w:name w:val="Hyperlink"/>
    <w:basedOn w:val="16"/>
    <w:uiPriority w:val="0"/>
    <w:rPr>
      <w:color w:val="000000"/>
      <w:u w:val="none"/>
    </w:rPr>
  </w:style>
  <w:style w:type="paragraph" w:customStyle="1" w:styleId="21">
    <w:name w:val=" Char1 Char Char Char Char Char Char Char Char Char Char Char Char Char Char1 Char Char Char1 Char Char Char Char Char Char Char Char Char Char Char Char1 Char Char Char Char Char Char Char Char Char Char Char Char Char"/>
    <w:basedOn w:val="2"/>
    <w:uiPriority w:val="0"/>
    <w:pPr>
      <w:widowControl/>
      <w:snapToGrid w:val="0"/>
      <w:spacing w:before="240" w:beforeLines="0" w:after="240" w:afterLines="0" w:line="348" w:lineRule="auto"/>
      <w:ind w:firstLine="200" w:firstLineChars="200"/>
      <w:jc w:val="left"/>
    </w:pPr>
    <w:rPr>
      <w:rFonts w:ascii="Calibri" w:hAnsi="Calibri"/>
      <w:lang w:val="en-GB" w:eastAsia="en-GB"/>
    </w:rPr>
  </w:style>
  <w:style w:type="paragraph" w:customStyle="1" w:styleId="22">
    <w:name w:val="p0"/>
    <w:basedOn w:val="1"/>
    <w:uiPriority w:val="0"/>
    <w:pPr>
      <w:widowControl/>
    </w:pPr>
    <w:rPr>
      <w:kern w:val="0"/>
      <w:szCs w:val="21"/>
    </w:rPr>
  </w:style>
  <w:style w:type="paragraph" w:customStyle="1" w:styleId="23">
    <w:name w:val=" Char"/>
    <w:basedOn w:val="1"/>
    <w:uiPriority w:val="0"/>
    <w:rPr>
      <w:szCs w:val="21"/>
    </w:rPr>
  </w:style>
  <w:style w:type="paragraph" w:customStyle="1" w:styleId="24">
    <w:name w:val="Normal (Web)"/>
    <w:basedOn w:val="1"/>
    <w:uiPriority w:val="0"/>
    <w:pPr>
      <w:widowControl/>
      <w:spacing w:before="100" w:beforeAutospacing="1" w:after="100" w:afterAutospacing="1"/>
      <w:jc w:val="left"/>
    </w:pPr>
    <w:rPr>
      <w:rFonts w:ascii="宋体" w:hAnsi="宋体" w:cs="宋体"/>
      <w:kern w:val="0"/>
      <w:sz w:val="24"/>
    </w:rPr>
  </w:style>
  <w:style w:type="paragraph" w:customStyle="1" w:styleId="25">
    <w:name w:val="Char Char Char Char Char Char Char Char Char Char Char Char Char Char Char Char Char Char Char"/>
    <w:basedOn w:val="1"/>
    <w:uiPriority w:val="0"/>
    <w:pPr>
      <w:widowControl/>
      <w:spacing w:after="160" w:afterLines="0" w:line="240" w:lineRule="exact"/>
      <w:jc w:val="left"/>
    </w:pPr>
    <w:rPr>
      <w:rFonts w:ascii="Verdana" w:hAnsi="Verdana"/>
      <w:kern w:val="0"/>
      <w:szCs w:val="20"/>
      <w:lang w:eastAsia="en-US"/>
    </w:rPr>
  </w:style>
  <w:style w:type="paragraph" w:customStyle="1" w:styleId="26">
    <w:name w:val=" Char Char Char Char Char Char Char Char Char Char Char Char Char Char Char Char Char Char Char"/>
    <w:basedOn w:val="1"/>
    <w:uiPriority w:val="0"/>
    <w:pPr>
      <w:widowControl/>
      <w:spacing w:after="160" w:afterLines="0" w:line="240" w:lineRule="exact"/>
      <w:jc w:val="left"/>
    </w:pPr>
    <w:rPr>
      <w:rFonts w:ascii="Verdana" w:hAnsi="Verdana"/>
      <w:kern w:val="0"/>
      <w:szCs w:val="20"/>
      <w:lang w:eastAsia="en-US"/>
    </w:rPr>
  </w:style>
  <w:style w:type="paragraph" w:customStyle="1" w:styleId="27">
    <w:name w:val="Char1"/>
    <w:basedOn w:val="1"/>
    <w:uiPriority w:val="0"/>
    <w:pPr>
      <w:widowControl/>
      <w:spacing w:after="160" w:line="240" w:lineRule="exact"/>
      <w:jc w:val="left"/>
    </w:pPr>
    <w:rPr>
      <w:szCs w:val="20"/>
    </w:rPr>
  </w:style>
  <w:style w:type="paragraph" w:customStyle="1" w:styleId="28">
    <w:name w:val="font3"/>
    <w:basedOn w:val="1"/>
    <w:uiPriority w:val="0"/>
    <w:pPr>
      <w:widowControl/>
      <w:spacing w:before="100" w:beforeLines="0" w:beforeAutospacing="1" w:after="100" w:afterLines="0" w:afterAutospacing="1"/>
      <w:jc w:val="left"/>
    </w:pPr>
    <w:rPr>
      <w:rFonts w:ascii="宋体" w:hAnsi="宋体"/>
      <w:kern w:val="0"/>
      <w:sz w:val="24"/>
    </w:rPr>
  </w:style>
  <w:style w:type="paragraph" w:customStyle="1" w:styleId="29">
    <w:name w:val="Char Char"/>
    <w:basedOn w:val="1"/>
    <w:uiPriority w:val="0"/>
    <w:pPr>
      <w:tabs>
        <w:tab w:val="left" w:pos="842"/>
      </w:tabs>
      <w:ind w:firstLine="482"/>
    </w:pPr>
    <w:rPr>
      <w:sz w:val="24"/>
    </w:rPr>
  </w:style>
  <w:style w:type="paragraph" w:customStyle="1" w:styleId="30">
    <w:name w:val="Char"/>
    <w:basedOn w:val="1"/>
    <w:uiPriority w:val="0"/>
    <w:rPr>
      <w:szCs w:val="21"/>
    </w:rPr>
  </w:style>
  <w:style w:type="character" w:customStyle="1" w:styleId="31">
    <w:name w:val="ggbody1"/>
    <w:basedOn w:val="16"/>
    <w:uiPriority w:val="0"/>
    <w:rPr>
      <w:rFonts w:hint="default" w:ascii="_x000B__x000C_" w:hAnsi="_x000B__x000C_"/>
      <w:sz w:val="21"/>
      <w:szCs w:val="21"/>
      <w:u w:val="none"/>
    </w:rPr>
  </w:style>
  <w:style w:type="character" w:customStyle="1" w:styleId="32">
    <w:name w:val="b21"/>
    <w:basedOn w:val="16"/>
    <w:uiPriority w:val="0"/>
    <w:rPr>
      <w:rFonts w:hint="eastAsia" w:ascii="宋体" w:hAnsi="宋体" w:eastAsia="宋体"/>
      <w:color w:val="000000"/>
      <w:sz w:val="20"/>
      <w:szCs w:val="20"/>
    </w:rPr>
  </w:style>
  <w:style w:type="character" w:customStyle="1" w:styleId="33">
    <w:name w:val="tiao"/>
    <w:basedOn w:val="16"/>
    <w:uiPriority w:val="0"/>
  </w:style>
  <w:style w:type="character" w:customStyle="1" w:styleId="34">
    <w:name w:val="postbody1"/>
    <w:basedOn w:val="16"/>
    <w:uiPriority w:val="0"/>
    <w:rPr>
      <w:sz w:val="21"/>
      <w:szCs w:val="21"/>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http://www.strd.gov.cn</Company>
  <Pages>1</Pages>
  <Words>267139</Words>
  <Characters>1522698</Characters>
  <Lines>12689</Lines>
  <Paragraphs>3572</Paragraphs>
  <ScaleCrop>false</ScaleCrop>
  <LinksUpToDate>false</LinksUpToDate>
  <CharactersWithSpaces>1786265</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2016-08-02T02:55:00Z</dcterms:created>
  <dc:creator>天佑</dc:creator>
  <cp:lastModifiedBy>Administrator</cp:lastModifiedBy>
  <cp:lastPrinted>2015-06-29T13:45:00Z</cp:lastPrinted>
  <dcterms:modified xsi:type="dcterms:W3CDTF">2017-02-09T08:29:40Z</dcterms:modified>
  <dc:title>《汕头市法规大全》</dc:title>
  <cp:revision>35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