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  <w:t>深圳市人民代表大会常务委员会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pacing w:val="-2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pacing w:val="-2"/>
          <w:w w:val="95"/>
          <w:sz w:val="44"/>
          <w:szCs w:val="44"/>
          <w:lang w:eastAsia="zh-CN"/>
        </w:rPr>
        <w:t>关于修改《</w:t>
      </w:r>
      <w:r>
        <w:rPr>
          <w:rFonts w:hint="eastAsia" w:ascii="宋体" w:hAnsi="宋体" w:eastAsia="宋体" w:cs="宋体"/>
          <w:b/>
          <w:bCs/>
          <w:color w:val="000000"/>
          <w:spacing w:val="-2"/>
          <w:w w:val="95"/>
          <w:sz w:val="44"/>
          <w:szCs w:val="44"/>
        </w:rPr>
        <w:t>深圳</w:t>
      </w:r>
      <w:r>
        <w:rPr>
          <w:rFonts w:hint="eastAsia" w:ascii="宋体" w:hAnsi="宋体" w:eastAsia="宋体" w:cs="宋体"/>
          <w:b/>
          <w:bCs/>
          <w:color w:val="000000"/>
          <w:spacing w:val="-2"/>
          <w:w w:val="95"/>
          <w:sz w:val="44"/>
          <w:szCs w:val="44"/>
          <w:lang w:val="en-US" w:eastAsia="zh-CN"/>
        </w:rPr>
        <w:t>经济特区房地产登记</w:t>
      </w:r>
      <w:r>
        <w:rPr>
          <w:rFonts w:hint="eastAsia" w:ascii="宋体" w:hAnsi="宋体" w:eastAsia="宋体" w:cs="宋体"/>
          <w:b/>
          <w:bCs/>
          <w:color w:val="000000"/>
          <w:spacing w:val="-2"/>
          <w:w w:val="95"/>
          <w:sz w:val="44"/>
          <w:szCs w:val="44"/>
        </w:rPr>
        <w:t>条例</w:t>
      </w:r>
      <w:r>
        <w:rPr>
          <w:rFonts w:hint="eastAsia" w:ascii="宋体" w:hAnsi="宋体" w:eastAsia="宋体" w:cs="宋体"/>
          <w:b/>
          <w:bCs/>
          <w:color w:val="000000"/>
          <w:spacing w:val="-2"/>
          <w:w w:val="95"/>
          <w:sz w:val="44"/>
          <w:szCs w:val="44"/>
          <w:lang w:eastAsia="zh-CN"/>
        </w:rPr>
        <w:t>》的</w:t>
      </w:r>
      <w:r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  <w:t>决定</w:t>
      </w:r>
    </w:p>
    <w:p>
      <w:pPr>
        <w:spacing w:line="560" w:lineRule="exact"/>
        <w:jc w:val="center"/>
        <w:rPr>
          <w:rFonts w:hint="eastAsia" w:ascii="楷体_GB2312" w:hAnsi="仿宋_GB2312" w:eastAsia="楷体_GB2312" w:cs="仿宋_GB2312"/>
          <w:b/>
          <w:bCs/>
        </w:rPr>
      </w:pPr>
      <w:r>
        <w:rPr>
          <w:rFonts w:hint="eastAsia" w:ascii="楷体_GB2312" w:hAnsi="仿宋_GB2312" w:eastAsia="楷体_GB2312" w:cs="仿宋_GB2312"/>
          <w:b/>
          <w:bCs/>
        </w:rPr>
        <w:t xml:space="preserve"> </w:t>
      </w:r>
    </w:p>
    <w:p>
      <w:pPr>
        <w:spacing w:line="560" w:lineRule="exact"/>
        <w:jc w:val="center"/>
        <w:rPr>
          <w:rFonts w:hint="eastAsia" w:ascii="楷体_GB2312" w:hAnsi="Times New Roman" w:eastAsia="楷体_GB2312"/>
        </w:rPr>
      </w:pPr>
      <w:r>
        <w:rPr>
          <w:rFonts w:hint="eastAsia" w:ascii="楷体_GB2312" w:hAnsi="宋体" w:eastAsia="楷体_GB2312"/>
        </w:rPr>
        <w:t>（</w:t>
      </w:r>
      <w:r>
        <w:rPr>
          <w:rFonts w:hint="eastAsia" w:ascii="楷体_GB2312" w:eastAsia="楷体_GB2312"/>
        </w:rPr>
        <w:t>202</w:t>
      </w:r>
      <w:r>
        <w:rPr>
          <w:rFonts w:hint="eastAsia" w:ascii="楷体_GB2312" w:eastAsia="楷体_GB2312"/>
          <w:lang w:val="en-US" w:eastAsia="zh-CN"/>
        </w:rPr>
        <w:t>1</w:t>
      </w:r>
      <w:r>
        <w:rPr>
          <w:rFonts w:hint="eastAsia" w:ascii="楷体_GB2312" w:eastAsia="楷体_GB2312"/>
        </w:rPr>
        <w:t>年</w:t>
      </w:r>
      <w:r>
        <w:rPr>
          <w:rFonts w:hint="eastAsia" w:ascii="楷体_GB2312" w:eastAsia="楷体_GB2312"/>
          <w:lang w:val="en-US" w:eastAsia="zh-CN"/>
        </w:rPr>
        <w:t>10</w:t>
      </w:r>
      <w:r>
        <w:rPr>
          <w:rFonts w:hint="eastAsia" w:ascii="楷体_GB2312" w:eastAsia="楷体_GB2312"/>
        </w:rPr>
        <w:t>月</w:t>
      </w:r>
      <w:r>
        <w:rPr>
          <w:rFonts w:hint="eastAsia" w:ascii="楷体_GB2312" w:eastAsia="楷体_GB2312"/>
          <w:lang w:val="en-US" w:eastAsia="zh-CN"/>
        </w:rPr>
        <w:t>30</w:t>
      </w:r>
      <w:r>
        <w:rPr>
          <w:rFonts w:hint="eastAsia" w:ascii="楷体_GB2312" w:eastAsia="楷体_GB2312"/>
        </w:rPr>
        <w:t>日深圳市第</w:t>
      </w:r>
      <w:r>
        <w:rPr>
          <w:rFonts w:hint="eastAsia" w:ascii="楷体_GB2312" w:eastAsia="楷体_GB2312"/>
          <w:lang w:eastAsia="zh-CN"/>
        </w:rPr>
        <w:t>七</w:t>
      </w:r>
      <w:r>
        <w:rPr>
          <w:rFonts w:hint="eastAsia" w:ascii="楷体_GB2312" w:eastAsia="楷体_GB2312"/>
        </w:rPr>
        <w:t>届人民代表大会</w:t>
      </w:r>
    </w:p>
    <w:p>
      <w:pPr>
        <w:spacing w:line="560" w:lineRule="exact"/>
        <w:jc w:val="center"/>
        <w:rPr>
          <w:rFonts w:hint="eastAsia" w:ascii="楷体_GB2312" w:hAnsi="宋体" w:eastAsia="楷体_GB2312"/>
        </w:rPr>
      </w:pPr>
      <w:r>
        <w:rPr>
          <w:rFonts w:hint="eastAsia" w:ascii="楷体_GB2312" w:eastAsia="楷体_GB2312"/>
        </w:rPr>
        <w:t>常务委员会第</w:t>
      </w:r>
      <w:r>
        <w:rPr>
          <w:rFonts w:hint="eastAsia" w:ascii="楷体_GB2312" w:eastAsia="楷体_GB2312"/>
          <w:lang w:eastAsia="zh-CN"/>
        </w:rPr>
        <w:t>五</w:t>
      </w:r>
      <w:r>
        <w:rPr>
          <w:rFonts w:hint="eastAsia" w:ascii="楷体_GB2312" w:eastAsia="楷体_GB2312"/>
        </w:rPr>
        <w:t>次会议通过</w:t>
      </w:r>
      <w:r>
        <w:rPr>
          <w:rFonts w:hint="eastAsia" w:ascii="楷体_GB2312" w:hAnsi="宋体" w:eastAsia="楷体_GB2312"/>
        </w:rPr>
        <w:t>）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 w:firstLineChars="200"/>
        <w:textAlignment w:val="auto"/>
        <w:rPr>
          <w:rFonts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深圳市第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eastAsia="zh-CN"/>
        </w:rPr>
        <w:t>七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届人民代表大会常务委员会第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val="en-US" w:eastAsia="zh-CN"/>
        </w:rPr>
        <w:t>五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次会议审议了深圳市人民政府提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eastAsia="zh-CN"/>
        </w:rPr>
        <w:t>出的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《</w:t>
      </w:r>
      <w:r>
        <w:rPr>
          <w:rFonts w:hint="eastAsia" w:ascii="宋体" w:hAnsi="宋体" w:eastAsia="宋体" w:cs="宋体"/>
          <w:color w:val="000000"/>
          <w:spacing w:val="-2"/>
          <w:sz w:val="32"/>
          <w:szCs w:val="32"/>
        </w:rPr>
        <w:t>〈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深圳经济特区道路交通安全管理条例</w:t>
      </w:r>
      <w:r>
        <w:rPr>
          <w:rFonts w:hint="eastAsia" w:ascii="宋体" w:hAnsi="宋体" w:eastAsia="宋体" w:cs="宋体"/>
          <w:color w:val="000000"/>
          <w:spacing w:val="-2"/>
          <w:sz w:val="32"/>
          <w:szCs w:val="32"/>
        </w:rPr>
        <w:t>〉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等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项法规修正案（草案）》的议案，决定对《深圳经济特区房地产登记条例》作如下修改：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删去第三十条第四项、第七项。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将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第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五项改为第四项，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修改为：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“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四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）建设工程规划验收和竣工验收合格证明文件，或者建设工程竣工联合验收合格证明文件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 w:firstLineChars="200"/>
        <w:textAlignment w:val="auto"/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</w:pP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本决定自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  <w:lang w:val="en-US" w:eastAsia="zh-CN"/>
        </w:rPr>
        <w:t>公布之日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 w:firstLineChars="200"/>
        <w:textAlignment w:val="auto"/>
        <w:rPr>
          <w:rFonts w:hint="eastAsia" w:ascii="仿宋_GB2312" w:hAnsi="Times New Roman" w:eastAsia="仿宋_GB2312" w:cs="Times New Roman"/>
          <w:color w:val="000000"/>
          <w:spacing w:val="-2"/>
          <w:sz w:val="32"/>
          <w:szCs w:val="32"/>
        </w:rPr>
      </w:pP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《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深圳经济特区房地产登记条例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》根据本决定作相应修改，并对条文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  <w:lang w:eastAsia="zh-CN"/>
        </w:rPr>
        <w:t>序号和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顺序作相应调整，重新公布。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pacing w:val="-2"/>
          <w:sz w:val="44"/>
          <w:szCs w:val="4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880" w:firstLineChars="200"/>
        <w:jc w:val="both"/>
        <w:textAlignment w:val="auto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C1A8F"/>
    <w:rsid w:val="1D1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仿宋_GB2312" w:hAnsi="Calibri" w:eastAsia="仿宋_GB2312" w:cs="Times New Roman"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spacing w:line="572" w:lineRule="exact"/>
      <w:jc w:val="center"/>
      <w:outlineLvl w:val="2"/>
    </w:pPr>
    <w:rPr>
      <w:rFonts w:hint="eastAsia" w:ascii="宋体" w:hAnsi="宋体" w:eastAsia="方正小标宋简体" w:cs="宋体"/>
      <w:kern w:val="0"/>
      <w:sz w:val="4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qFormat/>
    <w:uiPriority w:val="99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2021-11-18T02:47:00Z</dcterms:created>
  <dc:creator>卢倚玲</dc:creator>
  <cp:lastModifiedBy>卢倚玲</cp:lastModifiedBy>
  <dcterms:modified xsi:type="dcterms:W3CDTF">2021-11-18T02:47:51Z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2052-11.8.2.9017</vt:lpwstr>
  </property>
</Properties>
</file>