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仿宋_GB2312" w:eastAsia="仿宋_GB2312" w:cs="仿宋_GB2312"/>
          <w:b/>
          <w:bCs/>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color w:val="000000" w:themeColor="text1"/>
          <w:spacing w:val="0"/>
          <w:sz w:val="44"/>
          <w:szCs w:val="44"/>
          <w:highlight w:val="none"/>
          <w14:textFill>
            <w14:solidFill>
              <w14:schemeClr w14:val="tx1"/>
            </w14:solidFill>
          </w14:textFill>
        </w:rPr>
      </w:pPr>
      <w:r>
        <w:rPr>
          <w:rFonts w:hint="eastAsia" w:asciiTheme="majorEastAsia" w:hAnsiTheme="majorEastAsia" w:eastAsiaTheme="majorEastAsia" w:cstheme="majorEastAsia"/>
          <w:b/>
          <w:bCs/>
          <w:color w:val="000000" w:themeColor="text1"/>
          <w:spacing w:val="0"/>
          <w:sz w:val="44"/>
          <w:szCs w:val="44"/>
          <w:highlight w:val="none"/>
          <w:lang w:val="en-US" w:eastAsia="zh-CN"/>
          <w14:textFill>
            <w14:solidFill>
              <w14:schemeClr w14:val="tx1"/>
            </w14:solidFill>
          </w14:textFill>
        </w:rPr>
        <w:t>深圳市人民代表大会常务委员会</w:t>
      </w:r>
      <w:r>
        <w:rPr>
          <w:rFonts w:hint="eastAsia" w:asciiTheme="majorEastAsia" w:hAnsiTheme="majorEastAsia" w:eastAsiaTheme="majorEastAsia" w:cstheme="majorEastAsia"/>
          <w:b/>
          <w:bCs/>
          <w:color w:val="000000" w:themeColor="text1"/>
          <w:spacing w:val="0"/>
          <w:sz w:val="44"/>
          <w:szCs w:val="44"/>
          <w:highlight w:val="none"/>
          <w14:textFill>
            <w14:solidFill>
              <w14:schemeClr w14:val="tx1"/>
            </w14:solidFill>
          </w14:textFill>
        </w:rPr>
        <w:t>关于暂时停止适用《深圳经济特区城市管理综合</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color w:val="000000" w:themeColor="text1"/>
          <w:spacing w:val="0"/>
          <w:sz w:val="44"/>
          <w:szCs w:val="44"/>
          <w:highlight w:val="none"/>
          <w14:textFill>
            <w14:solidFill>
              <w14:schemeClr w14:val="tx1"/>
            </w14:solidFill>
          </w14:textFill>
        </w:rPr>
      </w:pPr>
      <w:r>
        <w:rPr>
          <w:rFonts w:hint="eastAsia" w:asciiTheme="majorEastAsia" w:hAnsiTheme="majorEastAsia" w:eastAsiaTheme="majorEastAsia" w:cstheme="majorEastAsia"/>
          <w:b/>
          <w:bCs/>
          <w:color w:val="000000" w:themeColor="text1"/>
          <w:spacing w:val="0"/>
          <w:sz w:val="44"/>
          <w:szCs w:val="44"/>
          <w:highlight w:val="none"/>
          <w14:textFill>
            <w14:solidFill>
              <w14:schemeClr w14:val="tx1"/>
            </w14:solidFill>
          </w14:textFill>
        </w:rPr>
        <w:t>执法条例》《深圳经济特区规划土地</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rPr>
          <w:rFonts w:hint="eastAsia"/>
          <w:color w:val="000000" w:themeColor="text1"/>
          <w14:textFill>
            <w14:solidFill>
              <w14:schemeClr w14:val="tx1"/>
            </w14:solidFill>
          </w14:textFill>
        </w:rPr>
      </w:pPr>
      <w:r>
        <w:rPr>
          <w:rFonts w:hint="eastAsia" w:asciiTheme="majorEastAsia" w:hAnsiTheme="majorEastAsia" w:eastAsiaTheme="majorEastAsia" w:cstheme="majorEastAsia"/>
          <w:b/>
          <w:bCs/>
          <w:color w:val="000000" w:themeColor="text1"/>
          <w:spacing w:val="0"/>
          <w:sz w:val="44"/>
          <w:szCs w:val="44"/>
          <w:highlight w:val="none"/>
          <w14:textFill>
            <w14:solidFill>
              <w14:schemeClr w14:val="tx1"/>
            </w14:solidFill>
          </w14:textFill>
        </w:rPr>
        <w:t>监察条例》有关规定的决定</w:t>
      </w:r>
    </w:p>
    <w:p>
      <w:pPr>
        <w:keepNext w:val="0"/>
        <w:keepLines w:val="0"/>
        <w:pageBreakBefore w:val="0"/>
        <w:widowControl w:val="0"/>
        <w:kinsoku/>
        <w:wordWrap/>
        <w:overflowPunct w:val="0"/>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color w:val="000000" w:themeColor="text1"/>
          <w:sz w:val="30"/>
          <w:szCs w:val="30"/>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560" w:lineRule="exact"/>
        <w:ind w:firstLine="900" w:firstLineChars="300"/>
        <w:jc w:val="left"/>
        <w:textAlignment w:val="auto"/>
        <w:outlineLvl w:val="9"/>
        <w:rPr>
          <w:rFonts w:hint="eastAsia" w:ascii="楷体_GB2312" w:hAnsi="楷体_GB2312" w:eastAsia="楷体_GB2312" w:cs="楷体_GB2312"/>
          <w:color w:val="000000" w:themeColor="text1"/>
          <w:sz w:val="30"/>
          <w:szCs w:val="30"/>
          <w:lang w:val="en-US" w:eastAsia="zh-CN"/>
          <w14:textFill>
            <w14:solidFill>
              <w14:schemeClr w14:val="tx1"/>
            </w14:solidFill>
          </w14:textFill>
        </w:rPr>
      </w:pPr>
      <w:r>
        <w:rPr>
          <w:rFonts w:hint="eastAsia" w:ascii="楷体_GB2312" w:hAnsi="楷体_GB2312" w:eastAsia="楷体_GB2312" w:cs="楷体_GB2312"/>
          <w:color w:val="000000" w:themeColor="text1"/>
          <w:sz w:val="30"/>
          <w:szCs w:val="30"/>
          <w14:textFill>
            <w14:solidFill>
              <w14:schemeClr w14:val="tx1"/>
            </w14:solidFill>
          </w14:textFill>
        </w:rPr>
        <w:t>（</w:t>
      </w:r>
      <w:r>
        <w:rPr>
          <w:rFonts w:hint="eastAsia" w:ascii="楷体_GB2312" w:hAnsi="楷体_GB2312" w:eastAsia="楷体_GB2312" w:cs="楷体_GB2312"/>
          <w:color w:val="000000" w:themeColor="text1"/>
          <w:sz w:val="30"/>
          <w:szCs w:val="30"/>
          <w:lang w:val="en-US" w:eastAsia="zh-CN"/>
          <w14:textFill>
            <w14:solidFill>
              <w14:schemeClr w14:val="tx1"/>
            </w14:solidFill>
          </w14:textFill>
        </w:rPr>
        <w:t>2021年6月29日深圳市第七届人民代表大会</w:t>
      </w:r>
    </w:p>
    <w:p>
      <w:pPr>
        <w:keepNext w:val="0"/>
        <w:keepLines w:val="0"/>
        <w:pageBreakBefore w:val="0"/>
        <w:widowControl w:val="0"/>
        <w:kinsoku/>
        <w:wordWrap/>
        <w:overflowPunct w:val="0"/>
        <w:topLinePunct w:val="0"/>
        <w:autoSpaceDE/>
        <w:autoSpaceDN/>
        <w:bidi w:val="0"/>
        <w:adjustRightInd/>
        <w:snapToGrid/>
        <w:spacing w:line="560" w:lineRule="exact"/>
        <w:ind w:firstLine="1200" w:firstLineChars="400"/>
        <w:jc w:val="left"/>
        <w:textAlignment w:val="auto"/>
        <w:outlineLvl w:val="9"/>
        <w:rPr>
          <w:rFonts w:hint="eastAsia" w:ascii="楷体_GB2312" w:hAnsi="楷体_GB2312" w:eastAsia="楷体_GB2312" w:cs="楷体_GB2312"/>
          <w:color w:val="000000" w:themeColor="text1"/>
          <w:sz w:val="30"/>
          <w:szCs w:val="30"/>
          <w14:textFill>
            <w14:solidFill>
              <w14:schemeClr w14:val="tx1"/>
            </w14:solidFill>
          </w14:textFill>
        </w:rPr>
      </w:pPr>
      <w:r>
        <w:rPr>
          <w:rFonts w:hint="eastAsia" w:ascii="楷体_GB2312" w:hAnsi="楷体_GB2312" w:eastAsia="楷体_GB2312" w:cs="楷体_GB2312"/>
          <w:color w:val="000000" w:themeColor="text1"/>
          <w:sz w:val="30"/>
          <w:szCs w:val="30"/>
          <w:lang w:val="en-US" w:eastAsia="zh-CN"/>
          <w14:textFill>
            <w14:solidFill>
              <w14:schemeClr w14:val="tx1"/>
            </w14:solidFill>
          </w14:textFill>
        </w:rPr>
        <w:t>常务委员会第二次会议通过</w:t>
      </w:r>
      <w:r>
        <w:rPr>
          <w:rFonts w:hint="eastAsia" w:ascii="楷体_GB2312" w:hAnsi="楷体_GB2312" w:eastAsia="楷体_GB2312" w:cs="楷体_GB2312"/>
          <w:color w:val="000000" w:themeColor="text1"/>
          <w:sz w:val="30"/>
          <w:szCs w:val="30"/>
          <w14:textFill>
            <w14:solidFill>
              <w14:schemeClr w14:val="tx1"/>
            </w14:solidFill>
          </w14:textFill>
        </w:rPr>
        <w:t>）</w:t>
      </w:r>
    </w:p>
    <w:p>
      <w:pPr>
        <w:pStyle w:val="3"/>
        <w:keepNext w:val="0"/>
        <w:keepLines w:val="0"/>
        <w:pageBreakBefore w:val="0"/>
        <w:widowControl w:val="0"/>
        <w:kinsoku/>
        <w:wordWrap/>
        <w:overflowPunct w:val="0"/>
        <w:topLinePunct w:val="0"/>
        <w:autoSpaceDE/>
        <w:autoSpaceDN/>
        <w:bidi w:val="0"/>
        <w:adjustRightInd/>
        <w:snapToGrid/>
        <w:spacing w:line="560" w:lineRule="exact"/>
        <w:textAlignment w:val="auto"/>
        <w:rPr>
          <w:rFonts w:hint="eastAsia"/>
          <w:color w:val="000000" w:themeColor="text1"/>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深圳市第</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七</w:t>
      </w:r>
      <w:r>
        <w:rPr>
          <w:rFonts w:hint="eastAsia" w:ascii="仿宋_GB2312" w:hAnsi="仿宋_GB2312" w:eastAsia="仿宋_GB2312" w:cs="仿宋_GB2312"/>
          <w:color w:val="000000" w:themeColor="text1"/>
          <w:sz w:val="32"/>
          <w:szCs w:val="32"/>
          <w14:textFill>
            <w14:solidFill>
              <w14:schemeClr w14:val="tx1"/>
            </w14:solidFill>
          </w14:textFill>
        </w:rPr>
        <w:t>届人民代表大会常务委员会第</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二</w:t>
      </w:r>
      <w:r>
        <w:rPr>
          <w:rFonts w:hint="eastAsia" w:ascii="仿宋_GB2312" w:hAnsi="仿宋_GB2312" w:eastAsia="仿宋_GB2312" w:cs="仿宋_GB2312"/>
          <w:color w:val="000000" w:themeColor="text1"/>
          <w:sz w:val="32"/>
          <w:szCs w:val="32"/>
          <w14:textFill>
            <w14:solidFill>
              <w14:schemeClr w14:val="tx1"/>
            </w14:solidFill>
          </w14:textFill>
        </w:rPr>
        <w:t>次会议</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对</w:t>
      </w:r>
      <w:r>
        <w:rPr>
          <w:rFonts w:hint="eastAsia" w:ascii="仿宋_GB2312" w:hAnsi="仿宋_GB2312" w:eastAsia="仿宋_GB2312" w:cs="仿宋_GB2312"/>
          <w:color w:val="000000" w:themeColor="text1"/>
          <w:sz w:val="32"/>
          <w:szCs w:val="32"/>
          <w14:textFill>
            <w14:solidFill>
              <w14:schemeClr w14:val="tx1"/>
            </w14:solidFill>
          </w14:textFill>
        </w:rPr>
        <w:t>《深圳经济特区城市管理综合执法条例</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深圳经济特区规划土地监察条例》有关规定</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作</w:t>
      </w:r>
      <w:r>
        <w:rPr>
          <w:rFonts w:hint="eastAsia" w:ascii="仿宋_GB2312" w:hAnsi="仿宋_GB2312" w:eastAsia="仿宋_GB2312" w:cs="仿宋_GB2312"/>
          <w:color w:val="000000" w:themeColor="text1"/>
          <w:sz w:val="32"/>
          <w:szCs w:val="32"/>
          <w14:textFill>
            <w14:solidFill>
              <w14:schemeClr w14:val="tx1"/>
            </w14:solidFill>
          </w14:textFill>
        </w:rPr>
        <w:t>如下决定：</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一、暂时停止适用《深圳经济特区城市管理综合执法条例》第四条第三款</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第八条</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第九条</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第十二条</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第十五条</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第十七条</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第十八条的规定。</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二、暂时停止适用《深圳经济特区规划土地监察条例》第四条第一款中“市、区两级执法的工作机制”和第二款</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第十二条第二项至第四项</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第十三条</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第十八条</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eastAsia" w:ascii="仿宋_GB2312" w:hAnsi="仿宋_GB2312" w:eastAsia="仿宋_GB2312" w:cs="仿宋_GB2312"/>
          <w:color w:val="000000" w:themeColor="text1"/>
          <w:sz w:val="32"/>
          <w:szCs w:val="32"/>
          <w14:textFill>
            <w14:solidFill>
              <w14:schemeClr w14:val="tx1"/>
            </w14:solidFill>
          </w14:textFill>
        </w:rPr>
        <w:t>第五十五条第二款的规定。</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themeColor="text1"/>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暂时停止适用上述有关规定的期限为三年。</w:t>
      </w:r>
      <w:r>
        <w:rPr>
          <w:rFonts w:hint="eastAsia" w:ascii="仿宋_GB2312" w:hAnsi="仿宋_GB2312" w:eastAsia="仿宋_GB2312" w:cs="仿宋_GB2312"/>
          <w:color w:val="000000" w:themeColor="text1"/>
          <w:sz w:val="32"/>
          <w:szCs w:val="32"/>
          <w14:textFill>
            <w14:solidFill>
              <w14:schemeClr w14:val="tx1"/>
            </w14:solidFill>
          </w14:textFill>
        </w:rPr>
        <w:t>暂时停止适用期间，街道</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城市管理综合执法工作和规划土地监察工作</w:t>
      </w:r>
      <w:r>
        <w:rPr>
          <w:rFonts w:hint="eastAsia" w:ascii="仿宋_GB2312" w:hAnsi="仿宋_GB2312" w:eastAsia="仿宋_GB2312" w:cs="仿宋_GB2312"/>
          <w:color w:val="000000" w:themeColor="text1"/>
          <w:sz w:val="32"/>
          <w:szCs w:val="32"/>
          <w14:textFill>
            <w14:solidFill>
              <w14:schemeClr w14:val="tx1"/>
            </w14:solidFill>
          </w14:textFill>
        </w:rPr>
        <w:t>按照市</w:t>
      </w:r>
      <w:r>
        <w:rPr>
          <w:rFonts w:hint="eastAsia" w:ascii="仿宋_GB2312" w:hAnsi="仿宋_GB2312" w:eastAsia="仿宋_GB2312" w:cs="仿宋_GB2312"/>
          <w:color w:val="000000" w:themeColor="text1"/>
          <w:sz w:val="32"/>
          <w:szCs w:val="32"/>
          <w:lang w:eastAsia="zh-CN"/>
          <w14:textFill>
            <w14:solidFill>
              <w14:schemeClr w14:val="tx1"/>
            </w14:solidFill>
          </w14:textFill>
        </w:rPr>
        <w:t>人民</w:t>
      </w:r>
      <w:r>
        <w:rPr>
          <w:rFonts w:hint="eastAsia" w:ascii="仿宋_GB2312" w:hAnsi="仿宋_GB2312" w:eastAsia="仿宋_GB2312" w:cs="仿宋_GB2312"/>
          <w:color w:val="000000" w:themeColor="text1"/>
          <w:sz w:val="32"/>
          <w:szCs w:val="32"/>
          <w14:textFill>
            <w14:solidFill>
              <w14:schemeClr w14:val="tx1"/>
            </w14:solidFill>
          </w14:textFill>
        </w:rPr>
        <w:t>政府有关</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完善街道综合行政执法体制机制的</w:t>
      </w:r>
      <w:r>
        <w:rPr>
          <w:rFonts w:hint="eastAsia" w:ascii="仿宋_GB2312" w:hAnsi="仿宋_GB2312" w:eastAsia="仿宋_GB2312" w:cs="仿宋_GB2312"/>
          <w:color w:val="000000" w:themeColor="text1"/>
          <w:sz w:val="32"/>
          <w:szCs w:val="32"/>
          <w14:textFill>
            <w14:solidFill>
              <w14:schemeClr w14:val="tx1"/>
            </w14:solidFill>
          </w14:textFill>
        </w:rPr>
        <w:t>规定执行。</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实践证明可行的，应当修改完善有关法规规定；实践证明不宜停止的，恢复施行有关法规规定。</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本决定自2021年</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9</w:t>
      </w:r>
      <w:r>
        <w:rPr>
          <w:rFonts w:hint="eastAsia" w:ascii="仿宋_GB2312" w:hAnsi="仿宋_GB2312" w:eastAsia="仿宋_GB2312" w:cs="仿宋_GB2312"/>
          <w:color w:val="000000" w:themeColor="text1"/>
          <w:sz w:val="32"/>
          <w:szCs w:val="32"/>
          <w14:textFill>
            <w14:solidFill>
              <w14:schemeClr w14:val="tx1"/>
            </w14:solidFill>
          </w14:textFill>
        </w:rPr>
        <w:t>月1日起施行。</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附件：暂时停止适用</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的规定</w:t>
      </w:r>
      <w:bookmarkStart w:id="0" w:name="_GoBack"/>
      <w:bookmarkEnd w:id="0"/>
      <w:r>
        <w:rPr>
          <w:rFonts w:hint="eastAsia" w:ascii="仿宋" w:hAnsi="仿宋" w:eastAsia="仿宋" w:cs="仿宋"/>
          <w:color w:val="000000" w:themeColor="text1"/>
          <w:sz w:val="32"/>
          <w:szCs w:val="32"/>
          <w14:textFill>
            <w14:solidFill>
              <w14:schemeClr w14:val="tx1"/>
            </w14:solidFill>
          </w14:textFill>
        </w:rPr>
        <w:br w:type="page"/>
      </w:r>
    </w:p>
    <w:p>
      <w:pPr>
        <w:keepNext w:val="0"/>
        <w:keepLines w:val="0"/>
        <w:pageBreakBefore w:val="0"/>
        <w:widowControl w:val="0"/>
        <w:kinsoku/>
        <w:wordWrap/>
        <w:overflowPunct w:val="0"/>
        <w:topLinePunct w:val="0"/>
        <w:autoSpaceDE/>
        <w:autoSpaceDN/>
        <w:bidi w:val="0"/>
        <w:adjustRightInd/>
        <w:snapToGrid/>
        <w:spacing w:line="560" w:lineRule="exact"/>
        <w:textAlignment w:val="auto"/>
        <w:rPr>
          <w:rFonts w:hint="eastAsia" w:ascii="黑体" w:hAnsi="黑体" w:eastAsia="黑体" w:cs="黑体"/>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附</w:t>
      </w:r>
      <w:r>
        <w:rPr>
          <w:rFonts w:hint="eastAsia" w:ascii="黑体" w:hAnsi="黑体" w:eastAsia="黑体" w:cs="黑体"/>
          <w:color w:val="000000" w:themeColor="text1"/>
          <w:sz w:val="32"/>
          <w:szCs w:val="32"/>
          <w:lang w:val="en-US" w:eastAsia="zh-CN"/>
          <w14:textFill>
            <w14:solidFill>
              <w14:schemeClr w14:val="tx1"/>
            </w14:solidFill>
          </w14:textFill>
        </w:rPr>
        <w:t>件</w:t>
      </w:r>
    </w:p>
    <w:p>
      <w:pPr>
        <w:pStyle w:val="3"/>
        <w:keepNext w:val="0"/>
        <w:keepLines w:val="0"/>
        <w:pageBreakBefore w:val="0"/>
        <w:widowControl w:val="0"/>
        <w:kinsoku/>
        <w:wordWrap/>
        <w:overflowPunct w:val="0"/>
        <w:topLinePunct w:val="0"/>
        <w:autoSpaceDE/>
        <w:autoSpaceDN/>
        <w:bidi w:val="0"/>
        <w:adjustRightInd/>
        <w:snapToGrid/>
        <w:spacing w:line="560" w:lineRule="exact"/>
        <w:textAlignment w:val="auto"/>
        <w:rPr>
          <w:rFonts w:hint="eastAsia"/>
          <w:color w:val="000000" w:themeColor="text1"/>
          <w:lang w:eastAsia="zh-CN"/>
          <w14:textFill>
            <w14:solidFill>
              <w14:schemeClr w14:val="tx1"/>
            </w14:solidFill>
          </w14:textFill>
        </w:rPr>
      </w:pPr>
    </w:p>
    <w:p>
      <w:pPr>
        <w:pStyle w:val="3"/>
        <w:keepNext w:val="0"/>
        <w:keepLines w:val="0"/>
        <w:pageBreakBefore w:val="0"/>
        <w:widowControl w:val="0"/>
        <w:kinsoku/>
        <w:wordWrap/>
        <w:overflowPunct w:val="0"/>
        <w:topLinePunct w:val="0"/>
        <w:autoSpaceDE/>
        <w:autoSpaceDN/>
        <w:bidi w:val="0"/>
        <w:adjustRightInd/>
        <w:snapToGrid/>
        <w:spacing w:line="560" w:lineRule="exact"/>
        <w:textAlignment w:val="auto"/>
        <w:outlineLvl w:val="9"/>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暂时停止适用</w:t>
      </w:r>
      <w:r>
        <w:rPr>
          <w:rFonts w:hint="eastAsia" w:hAnsi="宋体" w:cs="宋体"/>
          <w:color w:val="000000" w:themeColor="text1"/>
          <w:sz w:val="44"/>
          <w:szCs w:val="44"/>
          <w:lang w:val="en-US" w:eastAsia="zh-CN"/>
          <w14:textFill>
            <w14:solidFill>
              <w14:schemeClr w14:val="tx1"/>
            </w14:solidFill>
          </w14:textFill>
        </w:rPr>
        <w:t>的</w:t>
      </w:r>
      <w:r>
        <w:rPr>
          <w:rFonts w:hint="eastAsia" w:ascii="宋体" w:hAnsi="宋体" w:eastAsia="宋体" w:cs="宋体"/>
          <w:color w:val="000000" w:themeColor="text1"/>
          <w:sz w:val="44"/>
          <w:szCs w:val="44"/>
          <w:lang w:val="en-US" w:eastAsia="zh-CN"/>
          <w14:textFill>
            <w14:solidFill>
              <w14:schemeClr w14:val="tx1"/>
            </w14:solidFill>
          </w14:textFill>
        </w:rPr>
        <w:t>规定</w:t>
      </w:r>
    </w:p>
    <w:p>
      <w:pPr>
        <w:pStyle w:val="3"/>
        <w:keepNext w:val="0"/>
        <w:keepLines w:val="0"/>
        <w:pageBreakBefore w:val="0"/>
        <w:widowControl w:val="0"/>
        <w:kinsoku/>
        <w:wordWrap/>
        <w:overflowPunct w:val="0"/>
        <w:topLinePunct w:val="0"/>
        <w:autoSpaceDE/>
        <w:autoSpaceDN/>
        <w:bidi w:val="0"/>
        <w:adjustRightInd/>
        <w:snapToGrid/>
        <w:spacing w:line="560" w:lineRule="exact"/>
        <w:textAlignment w:val="auto"/>
        <w:rPr>
          <w:rFonts w:hint="eastAsia" w:ascii="仿宋_GB2312" w:hAnsi="仿宋_GB2312" w:eastAsia="仿宋_GB2312" w:cs="仿宋_GB2312"/>
          <w:color w:val="000000" w:themeColor="text1"/>
          <w:sz w:val="32"/>
          <w:szCs w:val="32"/>
          <w:lang w:eastAsia="zh-CN"/>
          <w14:textFill>
            <w14:solidFill>
              <w14:schemeClr w14:val="tx1"/>
            </w14:solidFill>
          </w14:textFill>
        </w:rPr>
      </w:pPr>
    </w:p>
    <w:p>
      <w:pPr>
        <w:pStyle w:val="3"/>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left"/>
        <w:textAlignment w:val="auto"/>
        <w:outlineLvl w:val="9"/>
        <w:rPr>
          <w:rFonts w:hint="eastAsia" w:ascii="仿宋" w:hAnsi="仿宋" w:eastAsia="仿宋" w:cs="仿宋"/>
          <w:b/>
          <w:bCs/>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一、</w:t>
      </w:r>
      <w:r>
        <w:rPr>
          <w:rFonts w:hint="eastAsia" w:ascii="黑体" w:hAnsi="黑体" w:eastAsia="黑体" w:cs="黑体"/>
          <w:b w:val="0"/>
          <w:bCs w:val="0"/>
          <w:color w:val="000000" w:themeColor="text1"/>
          <w:sz w:val="32"/>
          <w:szCs w:val="32"/>
          <w14:textFill>
            <w14:solidFill>
              <w14:schemeClr w14:val="tx1"/>
            </w14:solidFill>
          </w14:textFill>
        </w:rPr>
        <w:t>《深圳经济特区城市管理综合执法条例》</w:t>
      </w:r>
      <w:r>
        <w:rPr>
          <w:rFonts w:hint="eastAsia" w:ascii="黑体" w:hAnsi="黑体" w:eastAsia="黑体" w:cs="黑体"/>
          <w:b w:val="0"/>
          <w:bCs w:val="0"/>
          <w:color w:val="000000" w:themeColor="text1"/>
          <w:sz w:val="32"/>
          <w:szCs w:val="32"/>
          <w:lang w:val="en-US" w:eastAsia="zh-CN"/>
          <w14:textFill>
            <w14:solidFill>
              <w14:schemeClr w14:val="tx1"/>
            </w14:solidFill>
          </w14:textFill>
        </w:rPr>
        <w:t>暂时停止适用的条款</w:t>
      </w:r>
    </w:p>
    <w:p>
      <w:pPr>
        <w:pStyle w:val="3"/>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w:t>
      </w:r>
      <w:r>
        <w:rPr>
          <w:rFonts w:hint="eastAsia" w:ascii="黑体" w:hAnsi="黑体" w:eastAsia="黑体" w:cs="黑体"/>
          <w:b w:val="0"/>
          <w:bCs w:val="0"/>
          <w:color w:val="000000" w:themeColor="text1"/>
          <w:sz w:val="32"/>
          <w:szCs w:val="32"/>
          <w:lang w:val="en-US" w:eastAsia="zh-CN"/>
          <w14:textFill>
            <w14:solidFill>
              <w14:schemeClr w14:val="tx1"/>
            </w14:solidFill>
          </w14:textFill>
        </w:rPr>
        <w:t>四</w:t>
      </w:r>
      <w:r>
        <w:rPr>
          <w:rFonts w:hint="eastAsia" w:ascii="黑体" w:hAnsi="黑体" w:eastAsia="黑体" w:cs="黑体"/>
          <w:b w:val="0"/>
          <w:bCs w:val="0"/>
          <w:color w:val="000000" w:themeColor="text1"/>
          <w:sz w:val="32"/>
          <w:szCs w:val="32"/>
          <w14:textFill>
            <w14:solidFill>
              <w14:schemeClr w14:val="tx1"/>
            </w14:solidFill>
          </w14:textFill>
        </w:rPr>
        <w:t>条</w:t>
      </w:r>
      <w:r>
        <w:rPr>
          <w:rFonts w:hint="eastAsia" w:ascii="黑体" w:hAnsi="黑体" w:eastAsia="黑体" w:cs="黑体"/>
          <w:b w:val="0"/>
          <w:bCs w:val="0"/>
          <w:color w:val="000000" w:themeColor="text1"/>
          <w:sz w:val="32"/>
          <w:szCs w:val="32"/>
          <w:lang w:val="en-US" w:eastAsia="zh-CN"/>
          <w14:textFill>
            <w14:solidFill>
              <w14:schemeClr w14:val="tx1"/>
            </w14:solidFill>
          </w14:textFill>
        </w:rPr>
        <w:t>第三款</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街道城管和综合执法队（以下简称街道执法队）以区综合执法部门的名义开展综合执法。</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第八条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纳入综合执法职责范围的事项应当符合下列条件之一：</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（一）属于城管和综合执法部门职责范围内的事项；</w:t>
      </w:r>
    </w:p>
    <w:p>
      <w:pPr>
        <w:pStyle w:val="3"/>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（二）与市容管理密切相关且属于现场易于判断、不需要专业设备和技术检测手段即可定性的事项。</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第九条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综合执法的职责范围包括：</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（一）根据城市管理方面的法律、法规、规章，对违反城市容貌、环境卫生、园林绿化、城市照明和灯光夜景设施、爱国卫生、养犬等管理规定的行为进行查处；</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（二）根据林业管理方面的法律、法规、规章，对违反林业管理规定的行为进行查处；</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（三）根据道路管理方面的法律、法规、规章，对擅自占用城市市政道路、人行道等设置非交通设施、摆摊设点、销售商品的行为进行查处；</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（四）根据户外广告管理方面的法律、法规、规章，对违法设置户外广告设施的行为进行查处；</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 xml:space="preserve">（五）根据环境保护管理方面的法律、法规、规章，对未经批准焚烧固体废弃物的行为进行查处； </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（六）根据畜禽屠宰管理方面的法律、法规、规章，对私设屠宰场、非法屠宰畜禽的行为进行查处；</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（七）根据文化市场管理方面的法律、法规、规章，对未经批准在室外进行营业性演出的行为进行查处；</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（八）法律、法规、规章规定或者国务院、省、市人民政府决定的其他职责。</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 xml:space="preserve">第十二条 </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街道执法队的主要职责是：</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（一）贯彻执行有关法律、法规、规章和国务院、省、市人民政府的决定，履行综合执法的具体职责；</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（二）配合、协助市、区综合执法部门组织的综合执法活动；</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（三）依法处理纳入综合执法范围的违法行为；</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（四）办理区综合执法部门交办的案件。</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 xml:space="preserve">第十五条 </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街道执法队在查处违法行为过程中，认为确有必要由区综合执法部门管辖的，可以提请区综合执法部门管辖。</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区综合执法部门认为确有必要由本部门管辖的，应当受理；区综合执法部门认为没有必要由本部门处理的，仍由街道执法队管辖。</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第十七条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市综合执法部门对于区综合执法部门和街道执法队管辖的案件，认为确有必要由本部门管辖的，可以直接查处。</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区综合执法部门对于街道执法队管辖的案件，认为确有必要由本部门管辖的，可以直接查处。</w:t>
      </w:r>
    </w:p>
    <w:p>
      <w:pPr>
        <w:pStyle w:val="3"/>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第十八条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区综合执法部门之间、街道执法队之间因管辖权发生争议的，由共同的上级综合执法部门指定管辖。</w:t>
      </w:r>
    </w:p>
    <w:p>
      <w:pPr>
        <w:pStyle w:val="3"/>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left"/>
        <w:textAlignment w:val="auto"/>
        <w:outlineLvl w:val="9"/>
        <w:rPr>
          <w:rFonts w:hint="eastAsia" w:ascii="宋体" w:hAnsi="宋体" w:eastAsia="宋体" w:cs="宋体"/>
          <w:color w:val="000000" w:themeColor="text1"/>
          <w:sz w:val="44"/>
          <w:szCs w:val="44"/>
          <w:lang w:val="en-US" w:eastAsia="zh-CN"/>
          <w14:textFill>
            <w14:solidFill>
              <w14:schemeClr w14:val="tx1"/>
            </w14:solidFill>
          </w14:textFill>
        </w:rPr>
      </w:pPr>
      <w:r>
        <w:rPr>
          <w:rFonts w:hint="eastAsia" w:ascii="黑体" w:hAnsi="黑体" w:eastAsia="黑体" w:cs="黑体"/>
          <w:b w:val="0"/>
          <w:bCs w:val="0"/>
          <w:color w:val="000000" w:themeColor="text1"/>
          <w:sz w:val="32"/>
          <w:szCs w:val="32"/>
          <w:lang w:val="en-US" w:eastAsia="zh-CN"/>
          <w14:textFill>
            <w14:solidFill>
              <w14:schemeClr w14:val="tx1"/>
            </w14:solidFill>
          </w14:textFill>
        </w:rPr>
        <w:t>二、</w:t>
      </w:r>
      <w:r>
        <w:rPr>
          <w:rFonts w:hint="eastAsia" w:ascii="黑体" w:hAnsi="黑体" w:eastAsia="黑体" w:cs="黑体"/>
          <w:b w:val="0"/>
          <w:bCs w:val="0"/>
          <w:color w:val="000000" w:themeColor="text1"/>
          <w:sz w:val="32"/>
          <w:szCs w:val="32"/>
          <w14:textFill>
            <w14:solidFill>
              <w14:schemeClr w14:val="tx1"/>
            </w14:solidFill>
          </w14:textFill>
        </w:rPr>
        <w:t>《深圳经济特区规划土地监察条例》</w:t>
      </w:r>
      <w:r>
        <w:rPr>
          <w:rFonts w:hint="eastAsia" w:ascii="黑体" w:hAnsi="黑体" w:eastAsia="黑体" w:cs="黑体"/>
          <w:b w:val="0"/>
          <w:bCs w:val="0"/>
          <w:color w:val="000000" w:themeColor="text1"/>
          <w:sz w:val="32"/>
          <w:szCs w:val="32"/>
          <w:lang w:val="en-US" w:eastAsia="zh-CN"/>
          <w14:textFill>
            <w14:solidFill>
              <w14:schemeClr w14:val="tx1"/>
            </w14:solidFill>
          </w14:textFill>
        </w:rPr>
        <w:t>暂时停止适用的条款</w:t>
      </w:r>
    </w:p>
    <w:p>
      <w:pPr>
        <w:pStyle w:val="3"/>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 xml:space="preserve">第四条第一款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“市、区两级执法的工作机制”</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p>
    <w:p>
      <w:pPr>
        <w:pStyle w:val="3"/>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b w:val="0"/>
          <w:bCs w:val="0"/>
          <w:color w:val="000000" w:themeColor="text1"/>
          <w:sz w:val="32"/>
          <w:szCs w:val="32"/>
          <w:lang w:val="en-US" w:eastAsia="zh-CN"/>
          <w14:textFill>
            <w14:solidFill>
              <w14:schemeClr w14:val="tx1"/>
            </w14:solidFill>
          </w14:textFill>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第四条第二款</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市、区、街道规划土地监察机构是履行规划土地监察职责的专门机构，依法开展规划土地监察工作。</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 xml:space="preserve">第十二条第二项至第四项 </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街道办事处规划土地监察机构履行下列职责：</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（二）制止辖区内规划违法行为和土地违法行为并报告区规划土地监察机构；</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（三）以区规划土地监察机构的名义开展规划土地监察工作；</w:t>
      </w:r>
    </w:p>
    <w:p>
      <w:pPr>
        <w:pStyle w:val="3"/>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（四）承办市、区规划土地监察机构交办的其他规划土地监察事项。</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第十三条</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规划违法行为和土地违法行为的查处实行属地管辖。除跨区的或者市人民政府以及上级主管部门指定的重大案件由市规划土地监察机构管辖外，其他案件由区规划土地监察机构管辖。案件管辖的具体标准由市人民政府另行制定。</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市规划土地监察机构根据需要可以将其管辖的案件交由案件发生地的区规划土地监察机构办理，也可以办理由区规划土地监察机构管辖的案件。</w:t>
      </w:r>
    </w:p>
    <w:p>
      <w:pPr>
        <w:keepNext w:val="0"/>
        <w:keepLines w:val="0"/>
        <w:pageBreakBefore w:val="0"/>
        <w:widowControl w:val="0"/>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区规划土地监察机构之间对案件管辖发生争议的，由市规划土地监察机构指定管辖。</w:t>
      </w:r>
    </w:p>
    <w:p>
      <w:pPr>
        <w:pStyle w:val="3"/>
        <w:keepNext w:val="0"/>
        <w:keepLines w:val="0"/>
        <w:pageBreakBefore w:val="0"/>
        <w:widowControl w:val="0"/>
        <w:numPr>
          <w:ilvl w:val="0"/>
          <w:numId w:val="0"/>
        </w:numPr>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 xml:space="preserve">第十八条 </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规划土地监察机构对规划违法行为和土地违法行为投诉、举报的受理以及案件的办理，应当通过全市统一的规划土地监察平台进行，并按照政府信息公开的有关规定予以公开。</w:t>
      </w:r>
    </w:p>
    <w:p>
      <w:pPr>
        <w:pStyle w:val="3"/>
        <w:keepNext/>
        <w:keepLines w:val="0"/>
        <w:pageBreakBefore w:val="0"/>
        <w:widowControl w:val="0"/>
        <w:numPr>
          <w:ilvl w:val="0"/>
          <w:numId w:val="0"/>
        </w:numPr>
        <w:kinsoku/>
        <w:wordWrap/>
        <w:overflowPunct w:val="0"/>
        <w:topLinePunct w:val="0"/>
        <w:autoSpaceDE/>
        <w:autoSpaceDN/>
        <w:bidi w:val="0"/>
        <w:adjustRightInd/>
        <w:snapToGrid/>
        <w:spacing w:line="560" w:lineRule="exact"/>
        <w:ind w:firstLine="640" w:firstLineChars="200"/>
        <w:jc w:val="both"/>
        <w:textAlignment w:val="auto"/>
        <w:outlineLvl w:val="9"/>
        <w:rPr>
          <w:rFonts w:hint="eastAsia" w:eastAsia="仿宋_GB2312"/>
          <w:lang w:eastAsia="zh-CN"/>
        </w:rPr>
      </w:pPr>
      <w:r>
        <w:rPr>
          <w:rFonts w:hint="eastAsia" w:ascii="黑体" w:hAnsi="黑体" w:eastAsia="黑体" w:cs="黑体"/>
          <w:b w:val="0"/>
          <w:bCs w:val="0"/>
          <w:color w:val="000000" w:themeColor="text1"/>
          <w:kern w:val="2"/>
          <w:sz w:val="32"/>
          <w:szCs w:val="32"/>
          <w:lang w:val="en-US" w:eastAsia="zh-CN" w:bidi="ar-SA"/>
          <w14:textFill>
            <w14:solidFill>
              <w14:schemeClr w14:val="tx1"/>
            </w14:solidFill>
          </w14:textFill>
        </w:rPr>
        <w:t>第五十五条第二款</w:t>
      </w:r>
      <w:r>
        <w:rPr>
          <w:rFonts w:hint="eastAsia" w:ascii="仿宋" w:hAnsi="仿宋" w:eastAsia="仿宋" w:cs="仿宋"/>
          <w:b w:val="0"/>
          <w:bCs w:val="0"/>
          <w:color w:val="000000" w:themeColor="text1"/>
          <w:sz w:val="32"/>
          <w:szCs w:val="32"/>
          <w:lang w:val="en-US" w:eastAsia="zh-CN"/>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2"/>
          <w:sz w:val="32"/>
          <w:szCs w:val="32"/>
          <w:lang w:val="en-US" w:eastAsia="zh-CN" w:bidi="ar-SA"/>
          <w14:textFill>
            <w14:solidFill>
              <w14:schemeClr w14:val="tx1"/>
            </w14:solidFill>
          </w14:textFill>
        </w:rPr>
        <w:t>不服区规划土地监察机构作出的具体行政行为提起行政复议的，由区人民政府或者市规划土地监察机构受理；不服市规划土地监察机构作出的具体行政行为提起行政复议的，由市规划和自然资源部门受理。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91837"/>
    <w:rsid w:val="05A335F1"/>
    <w:rsid w:val="06141BE3"/>
    <w:rsid w:val="10D93246"/>
    <w:rsid w:val="12253E23"/>
    <w:rsid w:val="126941E3"/>
    <w:rsid w:val="1D6D7826"/>
    <w:rsid w:val="20C23324"/>
    <w:rsid w:val="21A608B1"/>
    <w:rsid w:val="33061A1C"/>
    <w:rsid w:val="3D820CC1"/>
    <w:rsid w:val="4159435A"/>
    <w:rsid w:val="472406F4"/>
    <w:rsid w:val="4792536E"/>
    <w:rsid w:val="528B4686"/>
    <w:rsid w:val="55616F82"/>
    <w:rsid w:val="57FA726C"/>
    <w:rsid w:val="5D8D22E7"/>
    <w:rsid w:val="5E1D5B56"/>
    <w:rsid w:val="605C2C6E"/>
    <w:rsid w:val="6326126E"/>
    <w:rsid w:val="6BFC0DE4"/>
    <w:rsid w:val="6E0E2592"/>
    <w:rsid w:val="73A1341C"/>
    <w:rsid w:val="7A7827C9"/>
    <w:rsid w:val="7CEB1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next w:val="4"/>
    <w:qFormat/>
    <w:uiPriority w:val="0"/>
    <w:pPr>
      <w:spacing w:line="540" w:lineRule="exact"/>
      <w:jc w:val="center"/>
    </w:pPr>
    <w:rPr>
      <w:rFonts w:ascii="宋体"/>
      <w:b/>
      <w:bCs/>
      <w:sz w:val="44"/>
    </w:rPr>
  </w:style>
  <w:style w:type="paragraph" w:styleId="4">
    <w:name w:val="Title"/>
    <w:basedOn w:val="1"/>
    <w:next w:val="1"/>
    <w:qFormat/>
    <w:uiPriority w:val="0"/>
    <w:pPr>
      <w:spacing w:before="240" w:after="60"/>
      <w:jc w:val="center"/>
      <w:textAlignment w:val="baseline"/>
    </w:pPr>
    <w:rPr>
      <w:rFonts w:ascii="Cambria" w:hAnsi="Cambria" w:eastAsia="宋体" w:cs="Times New Roman"/>
      <w:b/>
      <w:bCs/>
      <w:kern w:val="2"/>
      <w:sz w:val="32"/>
      <w:szCs w:val="32"/>
      <w:lang w:val="en-US" w:eastAsia="zh-CN" w:bidi="ar-SA"/>
    </w:rPr>
  </w:style>
  <w:style w:type="paragraph" w:styleId="5">
    <w:name w:val="footer"/>
    <w:basedOn w:val="1"/>
    <w:qFormat/>
    <w:uiPriority w:val="0"/>
    <w:pPr>
      <w:tabs>
        <w:tab w:val="center" w:pos="4153"/>
        <w:tab w:val="right" w:pos="8306"/>
      </w:tabs>
      <w:snapToGrid w:val="0"/>
      <w:jc w:val="left"/>
    </w:pPr>
    <w:rPr>
      <w:sz w:val="18"/>
    </w:rPr>
  </w:style>
  <w:style w:type="paragraph" w:styleId="6">
    <w:name w:val="Normal (Web)"/>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PC400</cp:lastModifiedBy>
  <cp:lastPrinted>2021-07-05T02:23:00Z</cp:lastPrinted>
  <dcterms:modified xsi:type="dcterms:W3CDTF">2021-11-24T02:12:14Z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66E450D557CE4CB3B317E47851116E24</vt:lpwstr>
  </property>
</Properties>
</file>