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val="0"/>
          <w:bCs w:val="0"/>
          <w:sz w:val="32"/>
          <w:szCs w:val="32"/>
        </w:rPr>
      </w:pPr>
    </w:p>
    <w:p>
      <w:pPr>
        <w:jc w:val="both"/>
        <w:rPr>
          <w:rFonts w:hint="eastAsia" w:ascii="宋体" w:hAnsi="宋体" w:eastAsia="宋体" w:cs="宋体"/>
          <w:b w:val="0"/>
          <w:bCs w:val="0"/>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深圳经济特区国有企业法定代表人</w:t>
      </w: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任期经济责任审计条例</w:t>
      </w:r>
    </w:p>
    <w:p>
      <w:pPr>
        <w:jc w:val="center"/>
        <w:rPr>
          <w:rFonts w:hint="eastAsia" w:ascii="宋体" w:hAnsi="宋体" w:eastAsia="宋体" w:cs="宋体"/>
          <w:b w:val="0"/>
          <w:bCs w:val="0"/>
          <w:sz w:val="32"/>
          <w:szCs w:val="32"/>
        </w:rPr>
      </w:pPr>
    </w:p>
    <w:p>
      <w:pPr>
        <w:ind w:firstLine="622"/>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（1997年12月17日深圳市第二届人民代表大会常务委</w:t>
      </w:r>
    </w:p>
    <w:p>
      <w:pPr>
        <w:ind w:firstLine="622"/>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rPr>
        <w:t>员会第十九次会议通过</w:t>
      </w:r>
      <w:r>
        <w:rPr>
          <w:rFonts w:hint="eastAsia" w:ascii="楷体_GB2312" w:hAnsi="楷体_GB2312" w:eastAsia="楷体_GB2312" w:cs="楷体_GB2312"/>
          <w:b w:val="0"/>
          <w:bCs w:val="0"/>
          <w:sz w:val="32"/>
          <w:szCs w:val="32"/>
          <w:lang w:val="en-US" w:eastAsia="zh-CN"/>
        </w:rPr>
        <w:t xml:space="preserve"> 2000年12月22日深圳市第三届</w:t>
      </w:r>
    </w:p>
    <w:p>
      <w:pPr>
        <w:ind w:firstLine="622"/>
        <w:jc w:val="both"/>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人民代表大会常务委员会第三次会议修正 2012年6月28</w:t>
      </w:r>
    </w:p>
    <w:p>
      <w:pPr>
        <w:ind w:firstLine="622"/>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日深圳市第五届人大常委会第十六次会议第二次修正</w:t>
      </w:r>
      <w:r>
        <w:rPr>
          <w:rFonts w:hint="eastAsia" w:ascii="楷体_GB2312" w:hAnsi="楷体_GB2312" w:eastAsia="楷体_GB2312" w:cs="楷体_GB2312"/>
          <w:b w:val="0"/>
          <w:bCs w:val="0"/>
          <w:sz w:val="32"/>
          <w:szCs w:val="32"/>
        </w:rPr>
        <w:t>）</w:t>
      </w:r>
    </w:p>
    <w:p>
      <w:pPr>
        <w:jc w:val="center"/>
        <w:rPr>
          <w:rFonts w:hint="eastAsia" w:ascii="宋体" w:hAnsi="宋体" w:eastAsia="宋体" w:cs="宋体"/>
          <w:b w:val="0"/>
          <w:bCs w:val="0"/>
          <w:sz w:val="32"/>
          <w:szCs w:val="32"/>
        </w:rPr>
      </w:pPr>
      <w:bookmarkStart w:id="0" w:name="_GoBack"/>
      <w:bookmarkEnd w:id="0"/>
    </w:p>
    <w:p>
      <w:pPr>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第一章  总则</w:t>
      </w:r>
    </w:p>
    <w:p>
      <w:p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 xml:space="preserve">第二章  </w:t>
      </w:r>
      <w:r>
        <w:rPr>
          <w:rFonts w:hint="eastAsia" w:ascii="楷体_GB2312" w:hAnsi="楷体_GB2312" w:eastAsia="楷体_GB2312" w:cs="楷体_GB2312"/>
          <w:b w:val="0"/>
          <w:bCs w:val="0"/>
          <w:sz w:val="32"/>
          <w:szCs w:val="32"/>
        </w:rPr>
        <w:t>审计管辖和审计组织</w:t>
      </w:r>
    </w:p>
    <w:p>
      <w:pPr>
        <w:jc w:val="both"/>
        <w:rPr>
          <w:rFonts w:hint="eastAsia" w:ascii="楷体_GB2312" w:hAnsi="楷体_GB2312" w:eastAsia="楷体_GB2312" w:cs="楷体_GB2312"/>
          <w:b w:val="0"/>
          <w:bCs w:val="0"/>
          <w:sz w:val="32"/>
          <w:szCs w:val="32"/>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审计内容和审计程序</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第四章</w:t>
      </w:r>
      <w:r>
        <w:rPr>
          <w:rFonts w:hint="eastAsia" w:ascii="楷体_GB2312" w:hAnsi="楷体_GB2312" w:eastAsia="楷体_GB2312" w:cs="楷体_GB2312"/>
          <w:b w:val="0"/>
          <w:bCs w:val="0"/>
          <w:sz w:val="32"/>
          <w:szCs w:val="32"/>
          <w:lang w:val="en-US" w:eastAsia="zh-CN"/>
        </w:rPr>
        <w:t xml:space="preserve">  审计处理</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第五章  法律责任</w:t>
      </w:r>
    </w:p>
    <w:p>
      <w:pPr>
        <w:jc w:val="both"/>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xml:space="preserve">    </w:t>
      </w:r>
      <w:r>
        <w:rPr>
          <w:rFonts w:hint="eastAsia" w:ascii="楷体_GB2312" w:hAnsi="楷体_GB2312" w:eastAsia="楷体_GB2312" w:cs="楷体_GB2312"/>
          <w:b w:val="0"/>
          <w:bCs w:val="0"/>
          <w:sz w:val="32"/>
          <w:szCs w:val="32"/>
          <w:lang w:val="en-US" w:eastAsia="zh-CN"/>
        </w:rPr>
        <w:t>第六章  附则</w:t>
      </w:r>
    </w:p>
    <w:p>
      <w:pPr>
        <w:ind w:firstLine="622"/>
        <w:jc w:val="both"/>
        <w:rPr>
          <w:rFonts w:hint="eastAsia" w:ascii="宋体" w:hAnsi="宋体" w:eastAsia="宋体" w:cs="宋体"/>
          <w:b w:val="0"/>
          <w:bCs w:val="0"/>
          <w:sz w:val="32"/>
          <w:szCs w:val="32"/>
          <w:lang w:val="en-US" w:eastAsia="zh-CN"/>
        </w:rPr>
      </w:pPr>
    </w:p>
    <w:p>
      <w:pPr>
        <w:numPr>
          <w:ilvl w:val="0"/>
          <w:numId w:val="1"/>
        </w:numPr>
        <w:jc w:val="center"/>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numPr>
          <w:ilvl w:val="0"/>
          <w:numId w:val="0"/>
        </w:numPr>
        <w:rPr>
          <w:rFonts w:hint="eastAsia" w:ascii="仿宋_GB2312" w:hAnsi="仿宋_GB2312" w:eastAsia="仿宋_GB2312" w:cs="仿宋_GB2312"/>
          <w:b w:val="0"/>
          <w:bCs w:val="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为加强对国有企业法定代表人任期经济责任的监督，客观、公正地评价其经营业绩，保障国有资产的安全与增值，根据国家有关法律、行政法规的基本原则，结合深圳经济特区实际，制定本条例。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深圳市、区人民政府所属国有独资企业、国有控股企业法定代表人的任期经济责任审计，适用本条例。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本条例所称任期经济责任，是指国有独资企业、国有控股企业（以下简称国有企业）的法定代表人任职期间对其所在企业资产、负债、损益的真实性、合法性和效益性，以及有关经济活动应当负有的责任。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有下列情形之一的，应当对国有企业法定代表人进行任期经济责任审计：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（一）法定代表人任期届满；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（二）法定代表人任期内因调任、免职、辞职、退休等离任的；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（三）企业进行出售、拍卖等资产重组的；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（四）企业破产、解散的。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未进行任期经济责任审计的国有企业法定代表人，不得解除任职期间的经济责任。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任期经济责任审计，应当以法律、法规和规章为依据，坚持独立、客观、公正的原则。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市、区人民政府审计机关（以下简称审计机关）负责同级政府所属的国有企业法定代表人任期经济责任审计工作。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市、区人民政府国有资产管理机构及其他有关部门应当在各自职责范围内协助审计机关进行国有企业法定代表人任期经济责任审计工作。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审计机关应当建立健全任期经济责任审计管理制度，规范审计行为，对内部审计机构、社会审计组织实施的任期经济责任审计进行指导、监督、检查，并向本级人民政府报告任期经济责任审计工作情况。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有企业法定代表人任期经济责任审计依照国家有关规定实行联席会议制度，通报、交流任期经济责任审计情况，研究解决任期经济责任审计中的重大问题。联席会议由政府审计、监察、财政、人事、国有资产管理等部门和其他有关部门组成。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联席会议下设办公室，负责处理日常工作，办公室设在审计机关。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国有企业法定代表人任期经济责任审计结果，应当作为国有资产管理机构、国有资产运营机构、国有资产产权单位和其他有关部门考核、任免、奖惩法定代表人的依据。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审计管辖和审计组织</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市、区人民政府所属的国有资产运营机构和授权经营的国有企业由同级审计机关进行审计。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前款规定企业的下属国有企业按照下管一级的原则，由上一级企业决定审计；审计机关认为必要时也可以直接审计。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企业决定的审计由企业内部审计机构实施，也可以委托社会审计组织实施。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法定代表人任期经济责任审计实行计划管理。市、区国有企业法定代表人管理机构应当于每年十一月底前将下一年度需要进行任期经济责任审计的人员名单送同级审计机关。审计机关直接审计的，应当列入审计计划并组织实施；企业决定审计的，国有资产运营机构或者授权经营的国有企业应当制定审计计划，报同级审计机关备案并组织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因特殊情况需要调整审计计划的，国有企业法定代表人管理机构应当及时将调整的人员名单送同级审计机关，审计机关或者企业应当根据审计管辖范围修订审计计划并组织实施。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实施任期经济责任审计的机构，具有下列职权：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（一）检查被审计企业的会计凭证、会计账簿、会计报表以及与法定代表人任期经济责任有关的其他资料；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（二）向有关单位和个人进行调查，并取得证明材料；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（三）法律、法规规定的其他职权。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审计机关实施任期经济责任审计所需经费列入本级人民政府财政预算，实行专款专用。委托社会审计组织实施审计的，费用由委托单位承担。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审计人员应当具备与任期经济责任审计工作相适应的专业知识和业务能力。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审计人员应保守实施任期经济责任审计中知悉的商业秘密。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审计人员依法实施任期经济责任审计，受法律保护。任何组织和个人不得拒绝、阻碍和干扰审计人员依法履行职务，不得打击报复审计人员。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审计内容和审计程序</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43"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国有企业法定代表人任期经济责任审计的主要内容包括：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（一）执行财经法律、法规、规章和政策的情况；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（二）国有资产保值、增值及其他任期经营目标的完成情况；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（三）企业资产、负债、损益情况；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（四）有关生产、经营、投资方面的重大决策情况；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（五）需要审计的其他事项。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实施任期经济责任审计的机构在审计中，为查明有关事项，有权追溯到法定代表人任期以前的年度，但应分清阶段和责任人。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国有企业法定代表人任期届满的，任期经济责任审计应自任期届满之日前十日内开始实施。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任期内因调任、免职、辞职、退休等原因而离任的，任期经济责任审计应当自决定或者批准之日起十日内开始实施。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企业进行出售、拍卖等资产重组或者破产、解散的，任期经济责任审计应当自决定或者批准之日起三十日内开始实施。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在开始实施任期经济责任审计三日前，实施审计的机构应当以书面形式通知被审计企业及其法定代表人。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国有企业法定代表人未经任期经济责任审计的，不得对其任命新职。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实施任期经济责任审计应当成立审计组，配备相应的审计人员，并可根据工作需要聘请具有与审计事项相关专业知识的人员参加审计。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审计人员与被审计企业或者其法定代表人有利害关系的，应当自行回避。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被审计企业或者其法定代表人认为审计人员与其有利害关系可能影响公正审计的，有权申请审计人员回避。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审计人员是否回避，由实施任期经济责任审计的机构决定。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在任期经济责任审计中，被审计企业及有关人员应当提供下列资料：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（一）法定代表人任职期间的述职报告或工作总结；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（二）法定代表人任期经营责任书；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（三）会计凭证、会计账簿、会计报表等有关资料；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（四）资产、负债、损益等有关资料；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（五）企业章程、合同或协议，生产经营计划及重大决策的有关资料；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（六）其他有关资料。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被审计企业及有关人员提供的资料必须真实、完整，不得毁灭、伪造、转移、隐匿。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实施任期经济责任审计的机构应当在发出审计通知书之日起四十五日内完成任期经济责任审计，特殊情况经决定审计的单位批准可适当延长。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审计组实施审计后，应当向实施审计的机构提交审计报告。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审计报告在提交实施审计的机构前，应当征求被审计企业及其法定代表人的意见。被审计企业及其法定代表人应当自收到审计报告之日起十日内提出书面意见；逾期未提出书面意见的，视为无异议。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实施审计的机构审定审计报告后，提出审计结果报告。由审计机关实施审计的，审计机关向本级政府提交审计结果报告，并抄送国有企业法定代表人管理机构和有关部门；由内部审计机构、社会审计组织实施审计的，由其向决定审计的单位提交审计结果报告，决定审计的单位应当将审计结果报告抄送同级审计机关和有关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审计结果报告主要包括以下内容：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（一）审计的范围、重点和有关情况的说明；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（二）对被审计企业资产、负债、损益的审计评价意见和评价依据；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（三）对法定代表人任期经济责任的审计评价意见和评价依据；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（四）对被审计企业违反国家规定的财务收支行为的定性、处理、处罚意见。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被审计企业法定代表人对审计结果有异议的，可以依照有关规定提出申诉。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审计机关提出的审计结果报告对法定代表人所在企业的资产、负债、损益的认定，有关部门和人员应当予以确认。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任期经济责任审计的程序，本条例没有规定的按有关法律、法规、规章的规定进行。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43"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审计处理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在任期经济责任审计中，发现被审计企业及有关人员有违反财经法律、法规行为的，审计机关、决定审计的单位或者实施审计的机构应当在各自法定职责范围内按下列规定处理：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（一）对正在进行的违反财经法律、法规的行为，应及时作出决定，予以制止；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（二）对审计中查出的违反财经法律、法规的行为涉及企业会计账目需要调整的，应责令被审计企业限期改正或在审计报告中予以说明；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（三）在审计中发现企业财产损失严重的，应及时按产权隶属关系分别移交国有资产管理机构、国有资产运营机构或国有资产产权单位调查处理；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（四）在审计中发现被审计企业、法定代表人及其有关人员的行为触犯刑律的，应及时向委托单位报告或移交司法机关处理。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经审计认定法定代表人在任职期间有下列情形之一的，除依法承担法律、法规规定的责任外，三年内不得担任国有企业的法定代表人或者国有资产产权代表：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（一）经营管理不善，造成国有资产严重损失的；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（二）违法进行生产经营活动，严重损害国家、社会利益的；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（三）连续两年未完成国有资产保值、增值指标、利润增长指标或者减亏指标并由个人负主要责任的；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（四）任职期间弄虚作假，伪造资产、负债、损益报表，严重损害国家、社会利益的；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（五）法律、法规规定的其他情形。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国有企业违反本条例规定未组织审计的，由审计机关通报批评，对其法定代表人处五千元以上一万元以下的罚款，对有关直接责任人员处二千元以上五千元以下的罚款，并责令其按本条例规定补办审计事项。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违反本条例规定有下列行为之一的，由审计机关对有关责任人员处五千元以上一万元以下的罚款；情节严重的，处一万元以上二万元以下的罚款；构成犯罪的，依法追究刑事责任：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（一）拒绝提供会计凭证、会计账簿、会计报表等与审计事项有关的资料和证明材料的；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（二）出具虚假证明材料、隐瞒事实真相的；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（三）毁灭、转移、隐匿、篡改与审计事项有关资料的；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（四）阻挠审计人员履行职务的；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（五）打击报复和陷害审计人员、提供资料人员、检举人、证明人的。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审计机关、国有资产管理机构、国有企业的工作人员违反审计法规和本条例规定滥用职权、徇私舞弊、玩忽职守的，由监察机关或其所在的单位给予行政处分；构成犯罪的，依法追究刑事责任。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社会审计组织及其执业人员违反本条例规定出具不实或虚假审计报告，或对审计中发现的重大问题在审计报告中不予说明的，由市注册会计师协会予以警告，并责令改正；情节严重的，由市财政部门没收违法所得，处违法所得一至三倍的罚款并吊销执业许可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审计人员违反本条例第十三条第二款规定，泄露商业秘密，给企业造成损失的，应当承担相应的法律责任。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当事人对行政机关作出的行政处罚决定不服的，可以在接到处罚通知书之日起六十日内向作出处罚决定机关的上一级机关申请复议；对复议决定不服的，可以在接到复议决定之日起十五日内向人民法院起诉。当事人也可以在接到处罚通知之日起十五日内直接向人民法院起诉。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当事人对行政机关的处罚决定逾期不申请复议也不向人民法院起诉，又不履行的，作出处罚决定的行政机关可以申请人民法院强制执行。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 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市政府可根据本条例制定实施细则。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本条例自一九九八年四月一日起施行。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060B"/>
    <w:multiLevelType w:val="singleLevel"/>
    <w:tmpl w:val="5876060B"/>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HorizontalSpacing w:val="101"/>
  <w:drawingGridVerticalSpacing w:val="29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83371"/>
    <w:rsid w:val="02FF78F8"/>
    <w:rsid w:val="034D3AB9"/>
    <w:rsid w:val="14D337EC"/>
    <w:rsid w:val="17FF571E"/>
    <w:rsid w:val="1DF83371"/>
    <w:rsid w:val="23FC56CA"/>
    <w:rsid w:val="25DF367E"/>
    <w:rsid w:val="349D0873"/>
    <w:rsid w:val="45E35257"/>
    <w:rsid w:val="4DC61CB6"/>
    <w:rsid w:val="51DF31D9"/>
    <w:rsid w:val="53191F46"/>
    <w:rsid w:val="594F39CE"/>
    <w:rsid w:val="5C070A5C"/>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2017-01-11T09:18:00Z</dcterms:created>
  <dc:creator>Administrator</dc:creator>
  <cp:lastModifiedBy>Administrator</cp:lastModifiedBy>
  <dcterms:modified xsi:type="dcterms:W3CDTF">2017-03-01T03:53:06Z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