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ind w:firstLine="412"/>
        <w:jc w:val="both"/>
      </w:pPr>
    </w:p>
    <w:p>
      <w:pPr>
        <w:widowControl w:val="0"/>
        <w:ind w:firstLine="0" w:firstLineChars="0"/>
        <w:jc w:val="center"/>
        <w:rPr>
          <w:rFonts w:ascii="宋体" w:hAnsi="宋体" w:cs="宋体"/>
          <w:b/>
          <w:color w:val="000000"/>
          <w:sz w:val="44"/>
          <w:szCs w:val="44"/>
        </w:rPr>
      </w:pPr>
      <w:r>
        <w:rPr>
          <w:rFonts w:hint="eastAsia" w:ascii="宋体" w:hAnsi="宋体" w:cs="宋体"/>
          <w:b/>
          <w:color w:val="000000"/>
          <w:sz w:val="44"/>
          <w:szCs w:val="44"/>
        </w:rPr>
        <w:t>深圳经济特区外商投资条例</w:t>
      </w:r>
    </w:p>
    <w:p>
      <w:pPr>
        <w:pStyle w:val="6"/>
        <w:keepNext w:val="0"/>
        <w:keepLines w:val="0"/>
        <w:pageBreakBefore w:val="0"/>
        <w:widowControl w:val="0"/>
        <w:kinsoku/>
        <w:wordWrap/>
        <w:overflowPunct w:val="0"/>
        <w:topLinePunct w:val="0"/>
        <w:autoSpaceDE/>
        <w:autoSpaceDN/>
        <w:bidi w:val="0"/>
        <w:adjustRightInd w:val="0"/>
        <w:snapToGrid w:val="0"/>
        <w:spacing w:before="157" w:beforeLines="50" w:beforeAutospacing="0" w:after="0" w:afterAutospacing="0" w:line="560" w:lineRule="exact"/>
        <w:ind w:left="0" w:leftChars="0" w:firstLine="0" w:firstLineChars="0"/>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（2022年</w:t>
      </w:r>
      <w:r>
        <w:rPr>
          <w:rFonts w:hint="eastAsia" w:ascii="楷体_GB2312" w:hAnsi="楷体_GB2312" w:eastAsia="楷体_GB2312" w:cs="楷体_GB2312"/>
          <w:color w:val="000000"/>
          <w:sz w:val="32"/>
          <w:szCs w:val="32"/>
          <w:lang w:val="en-US" w:eastAsia="zh-CN"/>
        </w:rPr>
        <w:t>8</w:t>
      </w:r>
      <w:r>
        <w:rPr>
          <w:rFonts w:hint="eastAsia" w:ascii="楷体_GB2312" w:hAnsi="楷体_GB2312" w:eastAsia="楷体_GB2312" w:cs="楷体_GB2312"/>
          <w:color w:val="000000"/>
          <w:sz w:val="32"/>
          <w:szCs w:val="32"/>
        </w:rPr>
        <w:t>月3</w:t>
      </w:r>
      <w:r>
        <w:rPr>
          <w:rFonts w:hint="eastAsia" w:ascii="楷体_GB2312" w:hAnsi="楷体_GB2312" w:eastAsia="楷体_GB2312" w:cs="楷体_GB2312"/>
          <w:color w:val="000000"/>
          <w:sz w:val="32"/>
          <w:szCs w:val="32"/>
          <w:lang w:val="en-US" w:eastAsia="zh-CN"/>
        </w:rPr>
        <w:t>0</w:t>
      </w:r>
      <w:r>
        <w:rPr>
          <w:rFonts w:hint="eastAsia" w:ascii="楷体_GB2312" w:hAnsi="楷体_GB2312" w:eastAsia="楷体_GB2312" w:cs="楷体_GB2312"/>
          <w:color w:val="000000"/>
          <w:sz w:val="32"/>
          <w:szCs w:val="32"/>
        </w:rPr>
        <w:t>日深圳市第七届人民代表大会</w:t>
      </w:r>
    </w:p>
    <w:p>
      <w:pPr>
        <w:pStyle w:val="6"/>
        <w:keepNext w:val="0"/>
        <w:keepLines w:val="0"/>
        <w:pageBreakBefore w:val="0"/>
        <w:widowControl w:val="0"/>
        <w:kinsoku/>
        <w:wordWrap/>
        <w:overflowPunct w:val="0"/>
        <w:topLinePunct w:val="0"/>
        <w:bidi w:val="0"/>
        <w:adjustRightInd w:val="0"/>
        <w:snapToGrid w:val="0"/>
        <w:spacing w:before="0" w:beforeAutospacing="0" w:after="0" w:afterAutospacing="0" w:line="560" w:lineRule="exact"/>
        <w:ind w:left="0" w:leftChars="0" w:firstLine="0" w:firstLineChars="0"/>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常务委员会第十</w:t>
      </w:r>
      <w:r>
        <w:rPr>
          <w:rFonts w:hint="eastAsia" w:ascii="楷体_GB2312" w:hAnsi="楷体_GB2312" w:eastAsia="楷体_GB2312" w:cs="楷体_GB2312"/>
          <w:color w:val="000000"/>
          <w:sz w:val="32"/>
          <w:szCs w:val="32"/>
          <w:lang w:eastAsia="zh-CN"/>
        </w:rPr>
        <w:t>一</w:t>
      </w:r>
      <w:r>
        <w:rPr>
          <w:rFonts w:hint="eastAsia" w:ascii="楷体_GB2312" w:hAnsi="楷体_GB2312" w:eastAsia="楷体_GB2312" w:cs="楷体_GB2312"/>
          <w:color w:val="000000"/>
          <w:sz w:val="32"/>
          <w:szCs w:val="32"/>
        </w:rPr>
        <w:t>次会议通过）</w:t>
      </w:r>
    </w:p>
    <w:p>
      <w:pPr>
        <w:pStyle w:val="7"/>
        <w:spacing w:after="0"/>
        <w:ind w:firstLine="210"/>
        <w:jc w:val="both"/>
      </w:pPr>
    </w:p>
    <w:p>
      <w:pPr>
        <w:ind w:firstLine="3664" w:firstLineChars="1145"/>
        <w:jc w:val="both"/>
        <w:rPr>
          <w:rFonts w:ascii="楷体" w:hAnsi="楷体" w:eastAsia="楷体" w:cs="楷体"/>
          <w:sz w:val="32"/>
          <w:szCs w:val="32"/>
        </w:rPr>
      </w:pPr>
      <w:r>
        <w:rPr>
          <w:rFonts w:hint="eastAsia" w:ascii="楷体" w:hAnsi="楷体" w:eastAsia="楷体" w:cs="楷体"/>
          <w:sz w:val="32"/>
          <w:szCs w:val="32"/>
        </w:rPr>
        <w:t>目  录</w:t>
      </w:r>
    </w:p>
    <w:p>
      <w:pPr>
        <w:widowControl w:val="0"/>
        <w:ind w:firstLine="640" w:firstLineChars="200"/>
        <w:jc w:val="both"/>
        <w:rPr>
          <w:rFonts w:ascii="楷体" w:hAnsi="楷体" w:eastAsia="楷体" w:cs="楷体"/>
          <w:bCs/>
          <w:sz w:val="32"/>
          <w:szCs w:val="32"/>
        </w:rPr>
      </w:pPr>
      <w:r>
        <w:rPr>
          <w:rFonts w:hint="eastAsia" w:ascii="楷体" w:hAnsi="楷体" w:eastAsia="楷体" w:cs="楷体"/>
          <w:bCs/>
          <w:sz w:val="32"/>
          <w:szCs w:val="32"/>
        </w:rPr>
        <w:t>第一章  总则</w:t>
      </w:r>
    </w:p>
    <w:p>
      <w:pPr>
        <w:widowControl w:val="0"/>
        <w:ind w:firstLine="640" w:firstLineChars="200"/>
        <w:jc w:val="both"/>
        <w:rPr>
          <w:rFonts w:ascii="楷体" w:hAnsi="楷体" w:eastAsia="楷体" w:cs="楷体"/>
          <w:bCs/>
          <w:sz w:val="32"/>
          <w:szCs w:val="32"/>
        </w:rPr>
      </w:pPr>
      <w:r>
        <w:rPr>
          <w:rFonts w:hint="eastAsia" w:ascii="楷体" w:hAnsi="楷体" w:eastAsia="楷体" w:cs="楷体"/>
          <w:bCs/>
          <w:sz w:val="32"/>
          <w:szCs w:val="32"/>
        </w:rPr>
        <w:t>第二章  投资准入</w:t>
      </w:r>
    </w:p>
    <w:p>
      <w:pPr>
        <w:widowControl w:val="0"/>
        <w:ind w:firstLine="640" w:firstLineChars="200"/>
        <w:jc w:val="both"/>
        <w:rPr>
          <w:rFonts w:ascii="楷体" w:hAnsi="楷体" w:eastAsia="楷体" w:cs="楷体"/>
          <w:bCs/>
          <w:sz w:val="32"/>
          <w:szCs w:val="32"/>
        </w:rPr>
      </w:pPr>
      <w:r>
        <w:rPr>
          <w:rFonts w:hint="eastAsia" w:ascii="楷体" w:hAnsi="楷体" w:eastAsia="楷体" w:cs="楷体"/>
          <w:bCs/>
          <w:sz w:val="32"/>
          <w:szCs w:val="32"/>
        </w:rPr>
        <w:t>第三章  投资便利</w:t>
      </w:r>
    </w:p>
    <w:p>
      <w:pPr>
        <w:widowControl w:val="0"/>
        <w:ind w:firstLine="640" w:firstLineChars="200"/>
        <w:jc w:val="both"/>
        <w:rPr>
          <w:rFonts w:ascii="楷体" w:hAnsi="楷体" w:eastAsia="楷体" w:cs="楷体"/>
          <w:bCs/>
          <w:sz w:val="32"/>
          <w:szCs w:val="32"/>
        </w:rPr>
      </w:pPr>
      <w:r>
        <w:rPr>
          <w:rFonts w:hint="eastAsia" w:ascii="楷体" w:hAnsi="楷体" w:eastAsia="楷体" w:cs="楷体"/>
          <w:bCs/>
          <w:sz w:val="32"/>
          <w:szCs w:val="32"/>
        </w:rPr>
        <w:t>第四章  权益保障</w:t>
      </w:r>
    </w:p>
    <w:p>
      <w:pPr>
        <w:pStyle w:val="2"/>
        <w:widowControl w:val="0"/>
        <w:spacing w:after="0"/>
        <w:ind w:firstLine="640" w:firstLineChars="200"/>
        <w:jc w:val="both"/>
        <w:rPr>
          <w:rFonts w:eastAsia="楷体"/>
        </w:rPr>
      </w:pPr>
      <w:r>
        <w:rPr>
          <w:rFonts w:hint="eastAsia" w:ascii="楷体" w:hAnsi="楷体" w:eastAsia="楷体" w:cs="楷体"/>
          <w:bCs/>
          <w:sz w:val="32"/>
          <w:szCs w:val="32"/>
        </w:rPr>
        <w:t>第五章  政务服务</w:t>
      </w:r>
    </w:p>
    <w:p>
      <w:pPr>
        <w:widowControl w:val="0"/>
        <w:ind w:firstLine="640" w:firstLineChars="200"/>
        <w:jc w:val="both"/>
        <w:rPr>
          <w:rFonts w:ascii="楷体" w:hAnsi="楷体" w:eastAsia="楷体" w:cs="楷体"/>
          <w:bCs/>
          <w:sz w:val="32"/>
          <w:szCs w:val="32"/>
        </w:rPr>
      </w:pPr>
      <w:r>
        <w:rPr>
          <w:rFonts w:hint="eastAsia" w:ascii="楷体" w:hAnsi="楷体" w:eastAsia="楷体" w:cs="楷体"/>
          <w:bCs/>
          <w:sz w:val="32"/>
          <w:szCs w:val="32"/>
        </w:rPr>
        <w:t>第六章  附则</w:t>
      </w:r>
    </w:p>
    <w:p>
      <w:pPr>
        <w:ind w:firstLine="0" w:firstLineChars="0"/>
        <w:jc w:val="both"/>
        <w:rPr>
          <w:rFonts w:ascii="仿宋_GB2312" w:hAnsi="黑体" w:eastAsia="仿宋_GB2312"/>
          <w:bCs/>
          <w:sz w:val="32"/>
          <w:szCs w:val="32"/>
        </w:rPr>
      </w:pPr>
    </w:p>
    <w:p>
      <w:pPr>
        <w:widowControl w:val="0"/>
        <w:ind w:firstLine="0" w:firstLineChars="0"/>
        <w:jc w:val="center"/>
        <w:rPr>
          <w:rFonts w:ascii="楷体" w:hAnsi="楷体" w:eastAsia="楷体" w:cs="楷体"/>
          <w:sz w:val="24"/>
        </w:rPr>
      </w:pPr>
      <w:r>
        <w:rPr>
          <w:rFonts w:hint="eastAsia" w:ascii="黑体" w:hAnsi="黑体" w:eastAsia="黑体"/>
          <w:bCs/>
          <w:sz w:val="32"/>
          <w:szCs w:val="32"/>
        </w:rPr>
        <w:t>第一章  总则</w:t>
      </w:r>
    </w:p>
    <w:p>
      <w:pPr>
        <w:widowControl w:val="0"/>
        <w:ind w:firstLine="0" w:firstLineChars="0"/>
        <w:jc w:val="both"/>
        <w:rPr>
          <w:rFonts w:ascii="黑体" w:hAnsi="黑体" w:eastAsia="黑体" w:cs="黑体"/>
          <w:sz w:val="24"/>
        </w:rPr>
      </w:pPr>
    </w:p>
    <w:p>
      <w:pPr>
        <w:widowControl w:val="0"/>
        <w:ind w:firstLine="640" w:firstLineChars="200"/>
        <w:jc w:val="both"/>
        <w:rPr>
          <w:rFonts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了促进外商投资，保护外商投资合法权益，规范外商投资管理，持续优化外商投资环境，推进深圳经济特区更高水平对外开放，根据《中华人民共和国外商投资法》《中华人民共和国外商投资法实施条例》等法律、行政法规的基本原则，结合</w:t>
      </w:r>
      <w:r>
        <w:rPr>
          <w:rFonts w:hint="eastAsia" w:ascii="仿宋_GB2312" w:hAnsi="仿宋_GB2312" w:eastAsia="仿宋_GB2312" w:cs="仿宋_GB2312"/>
          <w:sz w:val="32"/>
          <w:szCs w:val="32"/>
        </w:rPr>
        <w:t>深圳经济特区（以下简称特区）</w:t>
      </w:r>
      <w:r>
        <w:rPr>
          <w:rFonts w:hint="eastAsia" w:ascii="仿宋_GB2312" w:eastAsia="仿宋_GB2312"/>
          <w:sz w:val="32"/>
          <w:szCs w:val="32"/>
        </w:rPr>
        <w:t>实际，制定本条例。</w:t>
      </w:r>
    </w:p>
    <w:p>
      <w:pPr>
        <w:widowControl w:val="0"/>
        <w:ind w:firstLine="640" w:firstLineChars="200"/>
        <w:jc w:val="both"/>
        <w:rPr>
          <w:rFonts w:ascii="仿宋_GB2312" w:eastAsia="仿宋_GB2312"/>
          <w:color w:val="000000"/>
          <w:sz w:val="32"/>
          <w:szCs w:val="32"/>
        </w:rPr>
      </w:pPr>
      <w:r>
        <w:rPr>
          <w:rFonts w:hint="eastAsia" w:ascii="黑体" w:hAnsi="黑体" w:eastAsia="黑体"/>
          <w:sz w:val="32"/>
          <w:szCs w:val="32"/>
        </w:rPr>
        <w:t xml:space="preserve">第二条  </w:t>
      </w:r>
      <w:r>
        <w:rPr>
          <w:rFonts w:hint="eastAsia" w:ascii="仿宋_GB2312" w:eastAsia="仿宋_GB2312"/>
          <w:color w:val="000000"/>
          <w:sz w:val="32"/>
          <w:szCs w:val="32"/>
        </w:rPr>
        <w:t>特区内的外商投资及其促进、保护、管理、服务等活动，适用本条例。</w:t>
      </w:r>
    </w:p>
    <w:p>
      <w:pPr>
        <w:pStyle w:val="7"/>
        <w:widowControl w:val="0"/>
        <w:spacing w:after="0"/>
        <w:ind w:firstLine="640" w:firstLineChars="200"/>
        <w:jc w:val="both"/>
      </w:pPr>
      <w:r>
        <w:rPr>
          <w:rFonts w:hint="eastAsia" w:ascii="黑体" w:hAnsi="黑体" w:eastAsia="黑体"/>
          <w:sz w:val="32"/>
          <w:szCs w:val="32"/>
        </w:rPr>
        <w:t xml:space="preserve">第三条  </w:t>
      </w:r>
      <w:r>
        <w:rPr>
          <w:rFonts w:hint="eastAsia" w:ascii="仿宋_GB2312" w:eastAsia="仿宋_GB2312"/>
          <w:sz w:val="32"/>
          <w:szCs w:val="32"/>
        </w:rPr>
        <w:t>坚持开放合作、公平竞争、稳定透明、自由便利的原则，实行外商投资准入前国民待遇加负面清单管理制度，鼓励外国投资者加大在特区投资，推动形成全面开放新格局。</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z w:val="32"/>
          <w:szCs w:val="32"/>
        </w:rPr>
        <w:t>市、区人民政府应当加强外商投资工作的组织领导，制定外商投资促进和便利化措施，</w:t>
      </w:r>
      <w:r>
        <w:rPr>
          <w:rFonts w:hint="eastAsia" w:ascii="仿宋_GB2312" w:hAnsi="仿宋" w:eastAsia="仿宋_GB2312"/>
          <w:bCs/>
          <w:sz w:val="32"/>
          <w:szCs w:val="32"/>
        </w:rPr>
        <w:t>落实国家外商投资安全审查制度</w:t>
      </w:r>
      <w:r>
        <w:rPr>
          <w:rFonts w:hint="eastAsia" w:ascii="仿宋_GB2312" w:hAnsi="仿宋" w:eastAsia="仿宋_GB2312"/>
          <w:bCs/>
          <w:sz w:val="32"/>
          <w:szCs w:val="32"/>
          <w:lang w:eastAsia="zh-CN"/>
        </w:rPr>
        <w:t>，</w:t>
      </w:r>
      <w:r>
        <w:rPr>
          <w:rFonts w:hint="eastAsia" w:ascii="仿宋_GB2312" w:eastAsia="仿宋_GB2312"/>
          <w:sz w:val="32"/>
          <w:szCs w:val="32"/>
        </w:rPr>
        <w:t>统筹、协调、解决外商投资工作中的重大问题。</w:t>
      </w:r>
    </w:p>
    <w:p>
      <w:pPr>
        <w:widowControl w:val="0"/>
        <w:ind w:firstLine="640" w:firstLineChars="200"/>
        <w:jc w:val="both"/>
      </w:pPr>
      <w:r>
        <w:rPr>
          <w:rFonts w:hint="eastAsia" w:ascii="仿宋_GB2312" w:eastAsia="仿宋_GB2312"/>
          <w:sz w:val="32"/>
          <w:szCs w:val="32"/>
        </w:rPr>
        <w:t>商务部门以及其他有关部门按照职责分工，负责外商投资促进、保护、管理和服务等工作。</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五</w:t>
      </w:r>
      <w:r>
        <w:rPr>
          <w:rFonts w:hint="eastAsia" w:ascii="黑体" w:hAnsi="黑体" w:eastAsia="黑体"/>
          <w:sz w:val="32"/>
          <w:szCs w:val="32"/>
        </w:rPr>
        <w:t xml:space="preserve">条  </w:t>
      </w:r>
      <w:r>
        <w:rPr>
          <w:rFonts w:hint="eastAsia" w:ascii="仿宋_GB2312" w:eastAsia="仿宋_GB2312"/>
          <w:sz w:val="32"/>
          <w:szCs w:val="32"/>
        </w:rPr>
        <w:t>市、区人民政府应当建立健全外商投资企业权益保护服务机制，为外商投资企业提供业务指引、政策推送、投资咨询、投诉协调等服务。</w:t>
      </w:r>
    </w:p>
    <w:p>
      <w:pPr>
        <w:widowControl w:val="0"/>
        <w:ind w:firstLine="640" w:firstLineChars="200"/>
        <w:jc w:val="both"/>
        <w:rPr>
          <w:rFonts w:ascii="仿宋_GB2312" w:eastAsia="仿宋_GB2312"/>
          <w:b/>
          <w:bCs/>
          <w:sz w:val="32"/>
          <w:szCs w:val="32"/>
        </w:rPr>
      </w:pPr>
      <w:r>
        <w:rPr>
          <w:rFonts w:hint="eastAsia" w:ascii="黑体" w:hAnsi="黑体" w:eastAsia="黑体"/>
          <w:sz w:val="32"/>
          <w:szCs w:val="32"/>
        </w:rPr>
        <w:t>第</w:t>
      </w:r>
      <w:r>
        <w:rPr>
          <w:rFonts w:hint="eastAsia" w:ascii="黑体" w:hAnsi="黑体" w:eastAsia="黑体"/>
          <w:sz w:val="32"/>
          <w:szCs w:val="32"/>
          <w:lang w:eastAsia="zh-CN"/>
        </w:rPr>
        <w:t>六</w:t>
      </w:r>
      <w:r>
        <w:rPr>
          <w:rFonts w:hint="eastAsia" w:ascii="黑体" w:hAnsi="黑体" w:eastAsia="黑体"/>
          <w:sz w:val="32"/>
          <w:szCs w:val="32"/>
        </w:rPr>
        <w:t xml:space="preserve">条  </w:t>
      </w:r>
      <w:r>
        <w:rPr>
          <w:rFonts w:hint="eastAsia" w:ascii="仿宋_GB2312" w:eastAsia="仿宋_GB2312"/>
          <w:sz w:val="32"/>
          <w:szCs w:val="32"/>
        </w:rPr>
        <w:t>市、区商务等部门应当创新招商引资方式方法，加大投资环境宣传，通过举办招商会、交易会等方式促进外商投资。</w:t>
      </w:r>
    </w:p>
    <w:p>
      <w:pPr>
        <w:widowControl w:val="0"/>
        <w:ind w:firstLine="640" w:firstLineChars="200"/>
        <w:jc w:val="both"/>
        <w:rPr>
          <w:rFonts w:ascii="楷体" w:hAnsi="楷体" w:eastAsia="楷体" w:cs="楷体"/>
          <w:sz w:val="32"/>
          <w:szCs w:val="32"/>
        </w:rPr>
      </w:pPr>
      <w:r>
        <w:rPr>
          <w:rFonts w:hint="eastAsia" w:ascii="仿宋_GB2312" w:eastAsia="仿宋_GB2312"/>
          <w:sz w:val="32"/>
          <w:szCs w:val="32"/>
        </w:rPr>
        <w:t>鼓励各区结合自身区域优势和产业特点，开展外商投资促进活动。</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七</w:t>
      </w:r>
      <w:r>
        <w:rPr>
          <w:rFonts w:hint="eastAsia" w:ascii="黑体" w:hAnsi="黑体" w:eastAsia="黑体"/>
          <w:sz w:val="32"/>
          <w:szCs w:val="32"/>
        </w:rPr>
        <w:t xml:space="preserve">条  </w:t>
      </w:r>
      <w:r>
        <w:rPr>
          <w:rFonts w:hint="eastAsia" w:ascii="仿宋_GB2312" w:eastAsia="仿宋_GB2312"/>
          <w:sz w:val="32"/>
          <w:szCs w:val="32"/>
        </w:rPr>
        <w:t>市商务部门应当会同市外事等部门对本市在境外开展的外商投资促进活动进行统筹、指导和服务。</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加强与国际友好城市、友好组织以及其他境外城市、地区在投资经贸领域的交流和合作，加强与境外驻深投资促进机构等的沟通合作。</w:t>
      </w:r>
    </w:p>
    <w:p>
      <w:pPr>
        <w:pStyle w:val="7"/>
        <w:widowControl w:val="0"/>
        <w:spacing w:after="0"/>
        <w:ind w:firstLine="640" w:firstLineChars="200"/>
        <w:jc w:val="both"/>
        <w:rPr>
          <w:rFonts w:ascii="仿宋_GB2312" w:eastAsia="仿宋_GB2312"/>
          <w:sz w:val="32"/>
          <w:szCs w:val="32"/>
        </w:rPr>
      </w:pPr>
      <w:r>
        <w:rPr>
          <w:rFonts w:hint="eastAsia" w:ascii="仿宋_GB2312" w:eastAsia="仿宋_GB2312"/>
          <w:sz w:val="32"/>
          <w:szCs w:val="32"/>
        </w:rPr>
        <w:t>鼓励外商投资企业、侨商在境外宣传推介本市营商环境与产业政策。</w:t>
      </w:r>
    </w:p>
    <w:p>
      <w:pPr>
        <w:pStyle w:val="7"/>
        <w:widowControl w:val="0"/>
        <w:spacing w:after="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八</w:t>
      </w:r>
      <w:r>
        <w:rPr>
          <w:rFonts w:hint="eastAsia" w:ascii="黑体" w:hAnsi="黑体" w:eastAsia="黑体"/>
          <w:sz w:val="32"/>
          <w:szCs w:val="32"/>
        </w:rPr>
        <w:t xml:space="preserve">条  </w:t>
      </w:r>
      <w:r>
        <w:rPr>
          <w:rFonts w:hint="eastAsia" w:ascii="仿宋_GB2312" w:eastAsia="仿宋_GB2312"/>
          <w:sz w:val="32"/>
          <w:szCs w:val="32"/>
        </w:rPr>
        <w:t>鼓励外商投资企业增加投资、扩大产能，加大研发投入、</w:t>
      </w:r>
      <w:r>
        <w:rPr>
          <w:rFonts w:ascii="仿宋_GB2312" w:eastAsia="仿宋_GB2312"/>
          <w:sz w:val="32"/>
          <w:szCs w:val="32"/>
        </w:rPr>
        <w:t>加快</w:t>
      </w:r>
      <w:r>
        <w:rPr>
          <w:rFonts w:hint="eastAsia" w:ascii="仿宋_GB2312" w:eastAsia="仿宋_GB2312"/>
          <w:sz w:val="32"/>
          <w:szCs w:val="32"/>
        </w:rPr>
        <w:t>技术和产业升级。</w:t>
      </w:r>
    </w:p>
    <w:p>
      <w:pPr>
        <w:pStyle w:val="7"/>
        <w:widowControl w:val="0"/>
        <w:spacing w:after="0"/>
        <w:ind w:firstLine="640" w:firstLineChars="200"/>
        <w:jc w:val="both"/>
        <w:rPr>
          <w:rFonts w:ascii="仿宋_GB2312" w:eastAsia="仿宋_GB2312"/>
          <w:sz w:val="32"/>
          <w:szCs w:val="32"/>
        </w:rPr>
      </w:pPr>
    </w:p>
    <w:p>
      <w:pPr>
        <w:widowControl w:val="0"/>
        <w:ind w:firstLine="0" w:firstLineChars="0"/>
        <w:jc w:val="center"/>
        <w:rPr>
          <w:rFonts w:ascii="楷体" w:hAnsi="楷体" w:eastAsia="楷体" w:cs="楷体"/>
          <w:sz w:val="24"/>
        </w:rPr>
      </w:pPr>
      <w:r>
        <w:rPr>
          <w:rFonts w:hint="eastAsia" w:ascii="黑体" w:hAnsi="黑体" w:eastAsia="黑体"/>
          <w:bCs/>
          <w:sz w:val="32"/>
          <w:szCs w:val="32"/>
        </w:rPr>
        <w:t>第二章  投资准入</w:t>
      </w:r>
    </w:p>
    <w:p>
      <w:pPr>
        <w:widowControl w:val="0"/>
        <w:ind w:firstLine="640" w:firstLineChars="200"/>
        <w:jc w:val="both"/>
        <w:rPr>
          <w:rFonts w:ascii="黑体" w:hAnsi="黑体" w:eastAsia="黑体"/>
          <w:sz w:val="32"/>
          <w:szCs w:val="32"/>
        </w:rPr>
      </w:pP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九</w:t>
      </w:r>
      <w:r>
        <w:rPr>
          <w:rFonts w:hint="eastAsia" w:ascii="黑体" w:hAnsi="黑体" w:eastAsia="黑体"/>
          <w:sz w:val="32"/>
          <w:szCs w:val="32"/>
        </w:rPr>
        <w:t xml:space="preserve">条  </w:t>
      </w:r>
      <w:r>
        <w:rPr>
          <w:rFonts w:hint="eastAsia" w:ascii="仿宋_GB2312" w:eastAsia="仿宋_GB2312"/>
          <w:sz w:val="32"/>
          <w:szCs w:val="32"/>
        </w:rPr>
        <w:t>市、区商务部门应当结合本市产业布局、各区战略定位等特点，加强对外商投资的宏观规划引领，扩大利用外商投资的规模，提升利用外商投资的质量。</w:t>
      </w:r>
    </w:p>
    <w:p>
      <w:pPr>
        <w:widowControl w:val="0"/>
        <w:ind w:firstLine="640" w:firstLineChars="200"/>
        <w:jc w:val="both"/>
        <w:rPr>
          <w:rFonts w:ascii="仿宋_GB2312" w:hAnsi="Calibri" w:eastAsia="仿宋_GB2312"/>
          <w:sz w:val="32"/>
          <w:szCs w:val="32"/>
        </w:rPr>
      </w:pPr>
      <w:r>
        <w:rPr>
          <w:rFonts w:hint="eastAsia" w:ascii="黑体" w:hAnsi="黑体" w:eastAsia="黑体"/>
          <w:sz w:val="32"/>
          <w:szCs w:val="32"/>
        </w:rPr>
        <w:t xml:space="preserve">第十条  </w:t>
      </w:r>
      <w:r>
        <w:rPr>
          <w:rFonts w:hint="eastAsia" w:ascii="仿宋_GB2312" w:eastAsia="仿宋_GB2312"/>
          <w:sz w:val="32"/>
          <w:szCs w:val="32"/>
        </w:rPr>
        <w:t>依法实施外商投资准入负面清单管理制度。禁止在国家发布的外商投资准入负面清单以外制定外商投资准入的限制或者禁止性措施。</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前海蛇口自由贸易试验片区适用国家发布的自由贸易试验区负面清单。</w:t>
      </w:r>
    </w:p>
    <w:p>
      <w:pPr>
        <w:pStyle w:val="7"/>
        <w:widowControl w:val="0"/>
        <w:spacing w:after="0"/>
        <w:ind w:firstLine="640" w:firstLineChars="200"/>
        <w:jc w:val="both"/>
        <w:rPr>
          <w:rFonts w:ascii="仿宋_GB2312" w:eastAsia="仿宋_GB2312"/>
          <w:sz w:val="32"/>
          <w:szCs w:val="32"/>
        </w:rPr>
      </w:pPr>
      <w:r>
        <w:rPr>
          <w:rFonts w:hint="eastAsia" w:ascii="黑体" w:hAnsi="黑体" w:eastAsia="黑体"/>
          <w:sz w:val="32"/>
          <w:szCs w:val="32"/>
          <w:highlight w:val="none"/>
        </w:rPr>
        <w:t xml:space="preserve">第十一条  </w:t>
      </w:r>
      <w:r>
        <w:rPr>
          <w:rFonts w:hint="eastAsia" w:ascii="仿宋_GB2312" w:eastAsia="仿宋_GB2312"/>
          <w:sz w:val="32"/>
          <w:szCs w:val="32"/>
        </w:rPr>
        <w:t>外商投资准入负面清单以外的领域，按照内外资一致的原则实施管理，外国投资者与内资企业同等条件进入。</w:t>
      </w:r>
    </w:p>
    <w:p>
      <w:pPr>
        <w:pStyle w:val="7"/>
        <w:widowControl w:val="0"/>
        <w:spacing w:after="0"/>
        <w:ind w:firstLine="640" w:firstLineChars="200"/>
        <w:jc w:val="both"/>
        <w:rPr>
          <w:rFonts w:ascii="仿宋_GB2312" w:hAnsi="宋体" w:eastAsia="仿宋_GB2312"/>
          <w:sz w:val="32"/>
          <w:szCs w:val="32"/>
        </w:rPr>
      </w:pPr>
      <w:r>
        <w:rPr>
          <w:rFonts w:hint="eastAsia" w:ascii="仿宋_GB2312" w:eastAsia="仿宋_GB2312"/>
          <w:sz w:val="32"/>
          <w:szCs w:val="32"/>
        </w:rPr>
        <w:t>国家发布的市场准入负面清单中的许可准入事项，由外国投资者提出申请，相关部门依法依规作出是否予以准入的决定。</w:t>
      </w:r>
    </w:p>
    <w:p>
      <w:pPr>
        <w:numPr>
          <w:ilvl w:val="-1"/>
          <w:numId w:val="0"/>
        </w:numPr>
        <w:ind w:firstLine="640" w:firstLineChars="200"/>
        <w:jc w:val="both"/>
        <w:rPr>
          <w:rFonts w:hint="eastAsia" w:ascii="仿宋_GB2312" w:eastAsia="仿宋_GB2312"/>
          <w:sz w:val="32"/>
          <w:szCs w:val="32"/>
        </w:rPr>
      </w:pPr>
      <w:r>
        <w:rPr>
          <w:rFonts w:hint="eastAsia" w:ascii="黑体" w:hAnsi="黑体" w:eastAsia="黑体"/>
          <w:sz w:val="32"/>
          <w:szCs w:val="32"/>
          <w:highlight w:val="none"/>
        </w:rPr>
        <w:t>第十</w:t>
      </w:r>
      <w:r>
        <w:rPr>
          <w:rFonts w:hint="eastAsia" w:ascii="黑体" w:hAnsi="黑体" w:eastAsia="黑体"/>
          <w:sz w:val="32"/>
          <w:szCs w:val="32"/>
          <w:highlight w:val="none"/>
          <w:lang w:eastAsia="zh-CN"/>
        </w:rPr>
        <w:t>二</w:t>
      </w:r>
      <w:r>
        <w:rPr>
          <w:rFonts w:hint="eastAsia" w:ascii="黑体" w:hAnsi="黑体" w:eastAsia="黑体"/>
          <w:sz w:val="32"/>
          <w:szCs w:val="32"/>
          <w:highlight w:val="none"/>
        </w:rPr>
        <w:t>条</w:t>
      </w:r>
      <w:r>
        <w:rPr>
          <w:rFonts w:hint="eastAsia" w:ascii="黑体" w:hAnsi="黑体" w:eastAsia="黑体"/>
          <w:sz w:val="32"/>
          <w:szCs w:val="32"/>
          <w:highlight w:val="none"/>
          <w:lang w:val="en-US" w:eastAsia="zh-CN"/>
        </w:rPr>
        <w:t xml:space="preserve">  </w:t>
      </w:r>
      <w:r>
        <w:rPr>
          <w:rFonts w:hint="eastAsia" w:ascii="仿宋_GB2312" w:eastAsia="仿宋_GB2312"/>
          <w:sz w:val="32"/>
          <w:szCs w:val="32"/>
        </w:rPr>
        <w:t>鼓励和引导外国投资者在国家《鼓励外商投资产业目录》和本市重点发展领域内进行投资。鼓励和引导外国投资者在先进制造业、新兴产业、高新技术、节能环保等重点发展领域进行投资。</w:t>
      </w:r>
    </w:p>
    <w:p>
      <w:pPr>
        <w:pStyle w:val="7"/>
        <w:widowControl w:val="0"/>
        <w:spacing w:after="0"/>
        <w:ind w:firstLine="480" w:firstLineChars="200"/>
        <w:jc w:val="center"/>
        <w:rPr>
          <w:rFonts w:ascii="宋体" w:hAnsi="宋体" w:cs="宋体"/>
          <w:color w:val="333333"/>
          <w:sz w:val="24"/>
          <w:shd w:val="clear" w:color="auto" w:fill="FFFFFF"/>
        </w:rPr>
      </w:pPr>
    </w:p>
    <w:p>
      <w:pPr>
        <w:widowControl w:val="0"/>
        <w:ind w:firstLine="0" w:firstLineChars="0"/>
        <w:jc w:val="center"/>
        <w:rPr>
          <w:rFonts w:ascii="楷体" w:hAnsi="楷体" w:eastAsia="楷体" w:cs="楷体"/>
          <w:sz w:val="24"/>
        </w:rPr>
      </w:pPr>
      <w:r>
        <w:rPr>
          <w:rFonts w:hint="eastAsia" w:ascii="黑体" w:hAnsi="黑体" w:eastAsia="黑体"/>
          <w:bCs/>
          <w:sz w:val="32"/>
          <w:szCs w:val="32"/>
        </w:rPr>
        <w:t>第三章  投资便利</w:t>
      </w:r>
    </w:p>
    <w:p>
      <w:pPr>
        <w:widowControl w:val="0"/>
        <w:ind w:firstLine="480" w:firstLineChars="200"/>
        <w:jc w:val="both"/>
        <w:rPr>
          <w:rFonts w:ascii="楷体" w:hAnsi="楷体" w:eastAsia="楷体" w:cs="楷体"/>
          <w:sz w:val="24"/>
        </w:rPr>
      </w:pP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十三</w:t>
      </w:r>
      <w:r>
        <w:rPr>
          <w:rFonts w:hint="eastAsia" w:ascii="黑体" w:hAnsi="黑体" w:eastAsia="黑体"/>
          <w:sz w:val="32"/>
          <w:szCs w:val="32"/>
        </w:rPr>
        <w:t xml:space="preserve">条  </w:t>
      </w:r>
      <w:r>
        <w:rPr>
          <w:rFonts w:hint="eastAsia" w:ascii="仿宋_GB2312" w:eastAsia="仿宋_GB2312"/>
          <w:sz w:val="32"/>
          <w:szCs w:val="32"/>
        </w:rPr>
        <w:t>市商务部门应当会同其他相关部门通过优化资金、人才、物流、通关等措施，鼓励外国投资者在特区内设立跨国公司地区总部和各类功能性机构，支持其集聚业务、拓展功能，升级为亚太总部、全球总部。</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鼓励外国投资者设立投资性公司，支持投资性公司依法开展投资活动，为其股权交易、资金进出等提供便利。</w:t>
      </w:r>
    </w:p>
    <w:p>
      <w:pPr>
        <w:pStyle w:val="7"/>
        <w:widowControl w:val="0"/>
        <w:spacing w:after="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十四</w:t>
      </w:r>
      <w:r>
        <w:rPr>
          <w:rFonts w:hint="eastAsia" w:ascii="黑体" w:hAnsi="黑体" w:eastAsia="黑体"/>
          <w:sz w:val="32"/>
          <w:szCs w:val="32"/>
        </w:rPr>
        <w:t xml:space="preserve">条  </w:t>
      </w:r>
      <w:r>
        <w:rPr>
          <w:rFonts w:hint="eastAsia" w:ascii="仿宋_GB2312" w:eastAsia="仿宋_GB2312"/>
          <w:sz w:val="32"/>
          <w:szCs w:val="32"/>
        </w:rPr>
        <w:t>市、区人民政府在法定权限内对促进就业、经济发展、技术创新有重大贡献的外资项目，在费用减免、用地保障、公共服务供给等方面制定投资便利化政策，依法落实财政、税收、金融、用地等优惠待遇。</w:t>
      </w:r>
    </w:p>
    <w:p>
      <w:pPr>
        <w:pStyle w:val="7"/>
        <w:widowControl w:val="0"/>
        <w:spacing w:after="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十五</w:t>
      </w:r>
      <w:r>
        <w:rPr>
          <w:rFonts w:hint="eastAsia" w:ascii="黑体" w:hAnsi="黑体" w:eastAsia="黑体"/>
          <w:sz w:val="32"/>
          <w:szCs w:val="32"/>
        </w:rPr>
        <w:t xml:space="preserve">条  </w:t>
      </w:r>
      <w:r>
        <w:rPr>
          <w:rFonts w:hint="eastAsia" w:ascii="仿宋_GB2312" w:hAnsi="Calibri" w:eastAsia="仿宋_GB2312"/>
          <w:sz w:val="32"/>
          <w:szCs w:val="32"/>
        </w:rPr>
        <w:t>市商务、</w:t>
      </w:r>
      <w:r>
        <w:rPr>
          <w:rFonts w:hint="eastAsia" w:ascii="仿宋_GB2312" w:eastAsia="仿宋_GB2312"/>
          <w:sz w:val="32"/>
          <w:szCs w:val="32"/>
        </w:rPr>
        <w:t>规划和自然资源、住房建设等部门应当建立健全产业用房分类分级管理机制，加强对外商投资企业产业用房的指引和协调，稳定外商投资企业产业合理用房预期。</w:t>
      </w:r>
    </w:p>
    <w:p>
      <w:pPr>
        <w:widowControl w:val="0"/>
        <w:ind w:firstLine="640" w:firstLineChars="200"/>
        <w:jc w:val="both"/>
        <w:rPr>
          <w:rFonts w:ascii="仿宋_GB2312" w:eastAsia="仿宋_GB2312"/>
          <w:sz w:val="32"/>
          <w:szCs w:val="32"/>
        </w:rPr>
      </w:pPr>
      <w:r>
        <w:rPr>
          <w:rFonts w:hint="eastAsia" w:ascii="黑体" w:hAnsi="黑体" w:eastAsia="黑体"/>
          <w:sz w:val="32"/>
          <w:szCs w:val="32"/>
          <w:highlight w:val="none"/>
        </w:rPr>
        <w:t>第</w:t>
      </w:r>
      <w:r>
        <w:rPr>
          <w:rFonts w:hint="eastAsia" w:ascii="黑体" w:hAnsi="黑体" w:eastAsia="黑体"/>
          <w:sz w:val="32"/>
          <w:szCs w:val="32"/>
          <w:highlight w:val="none"/>
          <w:lang w:eastAsia="zh-CN"/>
        </w:rPr>
        <w:t>十六</w:t>
      </w:r>
      <w:r>
        <w:rPr>
          <w:rFonts w:hint="eastAsia" w:ascii="黑体" w:hAnsi="黑体" w:eastAsia="黑体"/>
          <w:sz w:val="32"/>
          <w:szCs w:val="32"/>
          <w:highlight w:val="none"/>
        </w:rPr>
        <w:t xml:space="preserve">条  </w:t>
      </w:r>
      <w:r>
        <w:rPr>
          <w:rFonts w:hint="eastAsia" w:ascii="仿宋_GB2312" w:eastAsia="仿宋_GB2312"/>
          <w:sz w:val="32"/>
          <w:szCs w:val="32"/>
          <w:highlight w:val="none"/>
        </w:rPr>
        <w:t>支持</w:t>
      </w:r>
      <w:r>
        <w:rPr>
          <w:rFonts w:hint="eastAsia" w:ascii="仿宋_GB2312" w:eastAsia="仿宋_GB2312"/>
          <w:sz w:val="32"/>
          <w:szCs w:val="32"/>
        </w:rPr>
        <w:t>围绕重点产业领域建设外商投资企业集聚园区，引进重大外资项目。</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科技创新、规划和自然资源、住房建设等部门应当根据职责规范园区管理，及时清理与企业性质挂钩的不合理规定和做法，保障园区外商投资企业平等享受各类优惠政策和便利化服务。</w:t>
      </w:r>
    </w:p>
    <w:p>
      <w:pPr>
        <w:pStyle w:val="7"/>
        <w:widowControl w:val="0"/>
        <w:spacing w:after="0"/>
        <w:ind w:firstLine="640" w:firstLineChars="200"/>
        <w:jc w:val="both"/>
        <w:rPr>
          <w:rFonts w:ascii="楷体" w:hAnsi="楷体" w:eastAsia="楷体" w:cs="楷体"/>
          <w:sz w:val="24"/>
        </w:rPr>
      </w:pPr>
      <w:r>
        <w:rPr>
          <w:rFonts w:hint="eastAsia" w:ascii="黑体" w:hAnsi="黑体" w:eastAsia="黑体"/>
          <w:sz w:val="32"/>
          <w:szCs w:val="32"/>
          <w:highlight w:val="none"/>
        </w:rPr>
        <w:t>第</w:t>
      </w:r>
      <w:r>
        <w:rPr>
          <w:rFonts w:hint="eastAsia" w:ascii="黑体" w:hAnsi="黑体" w:eastAsia="黑体"/>
          <w:sz w:val="32"/>
          <w:szCs w:val="32"/>
          <w:highlight w:val="none"/>
          <w:lang w:eastAsia="zh-CN"/>
        </w:rPr>
        <w:t>十七</w:t>
      </w:r>
      <w:r>
        <w:rPr>
          <w:rFonts w:hint="eastAsia" w:ascii="黑体" w:hAnsi="黑体" w:eastAsia="黑体"/>
          <w:sz w:val="32"/>
          <w:szCs w:val="32"/>
          <w:highlight w:val="none"/>
        </w:rPr>
        <w:t xml:space="preserve">条  </w:t>
      </w:r>
      <w:r>
        <w:rPr>
          <w:rFonts w:hint="eastAsia" w:ascii="仿宋_GB2312" w:hAnsi="宋体" w:eastAsia="仿宋_GB2312"/>
          <w:sz w:val="32"/>
          <w:szCs w:val="32"/>
        </w:rPr>
        <w:t>鼓</w:t>
      </w:r>
      <w:r>
        <w:rPr>
          <w:rFonts w:hint="eastAsia" w:ascii="仿宋_GB2312" w:eastAsia="仿宋_GB2312"/>
          <w:sz w:val="32"/>
          <w:szCs w:val="32"/>
        </w:rPr>
        <w:t>励银行业金</w:t>
      </w:r>
      <w:r>
        <w:rPr>
          <w:rFonts w:hint="eastAsia" w:ascii="仿宋_GB2312" w:hAnsi="宋体" w:eastAsia="仿宋_GB2312"/>
          <w:sz w:val="32"/>
          <w:szCs w:val="32"/>
        </w:rPr>
        <w:t>融机构加大金融科技应用，为外商投资企业涉外收支提供便利化和结算电子化服务，探索实施外籍职工薪酬购汇便利化措施，</w:t>
      </w:r>
      <w:r>
        <w:rPr>
          <w:rFonts w:hint="eastAsia" w:ascii="仿宋_GB2312" w:hAnsi="宋体" w:eastAsia="仿宋_GB2312"/>
          <w:sz w:val="32"/>
          <w:szCs w:val="32"/>
          <w:lang w:eastAsia="zh-CN"/>
        </w:rPr>
        <w:t>推进</w:t>
      </w:r>
      <w:r>
        <w:rPr>
          <w:rFonts w:hint="eastAsia" w:ascii="仿宋_GB2312" w:hAnsi="宋体" w:eastAsia="仿宋_GB2312"/>
          <w:sz w:val="32"/>
          <w:szCs w:val="32"/>
        </w:rPr>
        <w:t>本外币合一银行结算账户体系</w:t>
      </w:r>
      <w:r>
        <w:rPr>
          <w:rFonts w:hint="eastAsia" w:ascii="仿宋_GB2312" w:hAnsi="宋体" w:eastAsia="仿宋_GB2312"/>
          <w:sz w:val="32"/>
          <w:szCs w:val="32"/>
          <w:lang w:eastAsia="zh-CN"/>
        </w:rPr>
        <w:t>建设</w:t>
      </w:r>
      <w:r>
        <w:rPr>
          <w:rFonts w:hint="eastAsia" w:ascii="仿宋_GB2312" w:hAnsi="仿宋" w:eastAsia="仿宋_GB2312"/>
          <w:bCs/>
          <w:sz w:val="32"/>
          <w:szCs w:val="32"/>
        </w:rPr>
        <w:t>。</w:t>
      </w:r>
    </w:p>
    <w:p>
      <w:pPr>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十八</w:t>
      </w:r>
      <w:r>
        <w:rPr>
          <w:rFonts w:hint="eastAsia" w:ascii="黑体" w:hAnsi="黑体" w:eastAsia="黑体"/>
          <w:sz w:val="32"/>
          <w:szCs w:val="32"/>
        </w:rPr>
        <w:t xml:space="preserve">条  </w:t>
      </w:r>
      <w:r>
        <w:rPr>
          <w:rFonts w:hint="eastAsia" w:ascii="仿宋_GB2312" w:hAnsi="宋体" w:eastAsia="仿宋_GB2312"/>
          <w:sz w:val="32"/>
          <w:szCs w:val="32"/>
        </w:rPr>
        <w:t>支持金融机</w:t>
      </w:r>
      <w:r>
        <w:rPr>
          <w:rFonts w:hint="eastAsia" w:ascii="仿宋_GB2312" w:eastAsia="仿宋_GB2312"/>
          <w:sz w:val="32"/>
          <w:szCs w:val="32"/>
        </w:rPr>
        <w:t>构根据国家跨境融资管理政策，为外商投资企业开展本外币跨境融资提供相应便利。外商投资企业可以在规定区域内银行办理境内直接投资基本信息登记、变更与注销手续。</w:t>
      </w:r>
    </w:p>
    <w:p>
      <w:pPr>
        <w:ind w:firstLine="640" w:firstLineChars="200"/>
        <w:jc w:val="both"/>
        <w:rPr>
          <w:rFonts w:hint="eastAsia" w:ascii="仿宋_GB2312" w:hAnsi="Calibri" w:eastAsia="仿宋_GB2312"/>
          <w:sz w:val="32"/>
          <w:szCs w:val="22"/>
          <w:highlight w:val="none"/>
          <w:lang w:eastAsia="zh-CN" w:bidi="ar"/>
        </w:rPr>
      </w:pPr>
      <w:r>
        <w:rPr>
          <w:rFonts w:hint="eastAsia" w:ascii="黑体" w:hAnsi="黑体" w:eastAsia="黑体"/>
          <w:sz w:val="32"/>
          <w:szCs w:val="32"/>
          <w:highlight w:val="none"/>
        </w:rPr>
        <w:t>第</w:t>
      </w:r>
      <w:r>
        <w:rPr>
          <w:rFonts w:hint="eastAsia" w:ascii="黑体" w:hAnsi="黑体" w:eastAsia="黑体"/>
          <w:sz w:val="32"/>
          <w:szCs w:val="32"/>
          <w:highlight w:val="none"/>
          <w:lang w:eastAsia="zh-CN"/>
        </w:rPr>
        <w:t>十九</w:t>
      </w:r>
      <w:r>
        <w:rPr>
          <w:rFonts w:hint="eastAsia" w:ascii="黑体" w:hAnsi="黑体" w:eastAsia="黑体"/>
          <w:sz w:val="32"/>
          <w:szCs w:val="32"/>
          <w:highlight w:val="none"/>
        </w:rPr>
        <w:t xml:space="preserve">条  </w:t>
      </w:r>
      <w:r>
        <w:rPr>
          <w:rFonts w:hint="eastAsia" w:ascii="仿宋_GB2312" w:hAnsi="Calibri" w:eastAsia="仿宋_GB2312"/>
          <w:sz w:val="32"/>
          <w:szCs w:val="22"/>
          <w:lang w:bidi="ar"/>
        </w:rPr>
        <w:t>外国投资者</w:t>
      </w:r>
      <w:r>
        <w:rPr>
          <w:rFonts w:hint="eastAsia" w:ascii="仿宋_GB2312" w:hAnsi="Calibri" w:eastAsia="仿宋_GB2312"/>
          <w:sz w:val="32"/>
          <w:szCs w:val="22"/>
          <w:lang w:eastAsia="zh-CN" w:bidi="ar"/>
        </w:rPr>
        <w:t>、</w:t>
      </w:r>
      <w:r>
        <w:rPr>
          <w:rFonts w:hint="eastAsia" w:ascii="仿宋_GB2312" w:hAnsi="Calibri" w:eastAsia="仿宋_GB2312"/>
          <w:sz w:val="32"/>
          <w:szCs w:val="22"/>
          <w:lang w:bidi="ar"/>
        </w:rPr>
        <w:t>外商</w:t>
      </w:r>
      <w:r>
        <w:rPr>
          <w:rFonts w:hint="eastAsia" w:ascii="仿宋_GB2312" w:hAnsi="Calibri" w:eastAsia="仿宋_GB2312"/>
          <w:sz w:val="32"/>
          <w:szCs w:val="22"/>
          <w:highlight w:val="none"/>
          <w:lang w:bidi="ar"/>
        </w:rPr>
        <w:t>投资企业办理经营活动相关事项，</w:t>
      </w:r>
      <w:r>
        <w:rPr>
          <w:rFonts w:hint="eastAsia" w:ascii="仿宋_GB2312" w:hAnsi="Calibri" w:eastAsia="仿宋_GB2312"/>
          <w:sz w:val="32"/>
          <w:szCs w:val="22"/>
          <w:highlight w:val="none"/>
          <w:lang w:eastAsia="zh-CN" w:bidi="ar"/>
        </w:rPr>
        <w:t>因特殊情况相关人员无法到场办理或者无法现场提供资料原件</w:t>
      </w:r>
      <w:r>
        <w:rPr>
          <w:rFonts w:hint="eastAsia" w:ascii="仿宋_GB2312" w:hAnsi="Calibri" w:eastAsia="仿宋_GB2312" w:cs="Times New Roman"/>
          <w:sz w:val="32"/>
          <w:szCs w:val="22"/>
          <w:highlight w:val="none"/>
          <w:lang w:bidi="ar"/>
        </w:rPr>
        <w:t>的，</w:t>
      </w:r>
      <w:r>
        <w:rPr>
          <w:rFonts w:hint="eastAsia" w:ascii="仿宋_GB2312" w:hAnsi="Calibri" w:eastAsia="仿宋_GB2312" w:cs="Times New Roman"/>
          <w:sz w:val="32"/>
          <w:szCs w:val="22"/>
          <w:highlight w:val="none"/>
          <w:lang w:eastAsia="zh-CN" w:bidi="ar"/>
        </w:rPr>
        <w:t>有</w:t>
      </w:r>
      <w:r>
        <w:rPr>
          <w:rFonts w:hint="eastAsia" w:ascii="仿宋_GB2312" w:hAnsi="Calibri" w:eastAsia="仿宋_GB2312" w:cs="Times New Roman"/>
          <w:sz w:val="32"/>
          <w:szCs w:val="22"/>
          <w:highlight w:val="none"/>
          <w:lang w:bidi="ar"/>
        </w:rPr>
        <w:t>关部门和机构可以采取下列便利化方式提供服务：</w:t>
      </w:r>
    </w:p>
    <w:p>
      <w:pPr>
        <w:ind w:firstLine="640" w:firstLineChars="200"/>
        <w:jc w:val="both"/>
        <w:rPr>
          <w:rFonts w:hint="eastAsia" w:ascii="仿宋_GB2312" w:hAnsi="Calibri" w:eastAsia="仿宋_GB2312"/>
          <w:sz w:val="32"/>
          <w:szCs w:val="22"/>
          <w:highlight w:val="none"/>
          <w:lang w:bidi="ar"/>
        </w:rPr>
      </w:pPr>
      <w:r>
        <w:rPr>
          <w:rFonts w:hint="eastAsia" w:ascii="仿宋_GB2312" w:hAnsi="Calibri" w:eastAsia="仿宋_GB2312"/>
          <w:sz w:val="32"/>
          <w:szCs w:val="22"/>
          <w:highlight w:val="none"/>
          <w:lang w:eastAsia="zh-CN" w:bidi="ar"/>
        </w:rPr>
        <w:t>（一）</w:t>
      </w:r>
      <w:r>
        <w:rPr>
          <w:rFonts w:hint="eastAsia" w:ascii="仿宋_GB2312" w:hAnsi="Calibri" w:eastAsia="仿宋_GB2312"/>
          <w:sz w:val="32"/>
          <w:szCs w:val="22"/>
          <w:highlight w:val="none"/>
          <w:lang w:bidi="ar"/>
        </w:rPr>
        <w:t>需要境外相关人员现场办理的，可以</w:t>
      </w:r>
      <w:r>
        <w:rPr>
          <w:rFonts w:hint="eastAsia" w:ascii="仿宋_GB2312" w:hAnsi="Calibri" w:eastAsia="仿宋_GB2312"/>
          <w:sz w:val="32"/>
          <w:szCs w:val="22"/>
          <w:highlight w:val="none"/>
          <w:lang w:eastAsia="zh-CN" w:bidi="ar"/>
        </w:rPr>
        <w:t>采取</w:t>
      </w:r>
      <w:r>
        <w:rPr>
          <w:rFonts w:hint="eastAsia" w:ascii="仿宋_GB2312" w:hAnsi="Calibri" w:eastAsia="仿宋_GB2312"/>
          <w:sz w:val="32"/>
          <w:szCs w:val="22"/>
          <w:highlight w:val="none"/>
          <w:lang w:bidi="ar"/>
        </w:rPr>
        <w:t>在线办理等替代方式；</w:t>
      </w:r>
    </w:p>
    <w:p>
      <w:pPr>
        <w:ind w:firstLine="640" w:firstLineChars="200"/>
        <w:jc w:val="both"/>
        <w:rPr>
          <w:rFonts w:hint="eastAsia" w:ascii="仿宋_GB2312" w:hAnsi="Calibri" w:eastAsia="仿宋_GB2312"/>
          <w:sz w:val="32"/>
          <w:szCs w:val="22"/>
          <w:highlight w:val="none"/>
          <w:lang w:bidi="ar"/>
        </w:rPr>
      </w:pPr>
      <w:r>
        <w:rPr>
          <w:rFonts w:hint="eastAsia" w:ascii="仿宋_GB2312" w:hAnsi="Calibri" w:eastAsia="仿宋_GB2312"/>
          <w:sz w:val="32"/>
          <w:szCs w:val="22"/>
          <w:highlight w:val="none"/>
          <w:lang w:eastAsia="zh-CN" w:bidi="ar"/>
        </w:rPr>
        <w:t>（二）</w:t>
      </w:r>
      <w:r>
        <w:rPr>
          <w:rFonts w:hint="eastAsia" w:ascii="仿宋_GB2312" w:hAnsi="Calibri" w:eastAsia="仿宋_GB2312"/>
          <w:sz w:val="32"/>
          <w:szCs w:val="22"/>
          <w:highlight w:val="none"/>
          <w:lang w:bidi="ar"/>
        </w:rPr>
        <w:t>需要使用境外证件、证照和其</w:t>
      </w:r>
      <w:r>
        <w:rPr>
          <w:rFonts w:hint="eastAsia" w:ascii="仿宋_GB2312" w:hAnsi="Calibri" w:eastAsia="仿宋_GB2312"/>
          <w:sz w:val="32"/>
          <w:szCs w:val="22"/>
          <w:highlight w:val="none"/>
          <w:lang w:eastAsia="zh-CN" w:bidi="ar"/>
        </w:rPr>
        <w:t>他</w:t>
      </w:r>
      <w:r>
        <w:rPr>
          <w:rFonts w:hint="eastAsia" w:ascii="仿宋_GB2312" w:hAnsi="Calibri" w:eastAsia="仿宋_GB2312"/>
          <w:sz w:val="32"/>
          <w:szCs w:val="22"/>
          <w:highlight w:val="none"/>
          <w:lang w:bidi="ar"/>
        </w:rPr>
        <w:t>证明文件的，可以通过接受公证、认证</w:t>
      </w:r>
      <w:r>
        <w:rPr>
          <w:rFonts w:hint="eastAsia" w:ascii="仿宋_GB2312" w:hAnsi="Calibri" w:eastAsia="仿宋_GB2312"/>
          <w:sz w:val="32"/>
          <w:szCs w:val="22"/>
          <w:highlight w:val="none"/>
          <w:lang w:eastAsia="zh-CN" w:bidi="ar"/>
        </w:rPr>
        <w:t>文件</w:t>
      </w:r>
      <w:r>
        <w:rPr>
          <w:rFonts w:hint="eastAsia" w:ascii="仿宋_GB2312" w:hAnsi="Calibri" w:eastAsia="仿宋_GB2312"/>
          <w:sz w:val="32"/>
          <w:szCs w:val="22"/>
          <w:highlight w:val="none"/>
          <w:lang w:bidi="ar"/>
        </w:rPr>
        <w:t>等方式提供便利。</w:t>
      </w:r>
    </w:p>
    <w:p>
      <w:pPr>
        <w:ind w:firstLine="640" w:firstLineChars="200"/>
        <w:jc w:val="both"/>
        <w:rPr>
          <w:rFonts w:hint="eastAsia" w:ascii="仿宋_GB2312" w:hAnsi="Calibri" w:eastAsia="仿宋_GB2312"/>
          <w:sz w:val="32"/>
          <w:szCs w:val="22"/>
          <w:highlight w:val="none"/>
          <w:lang w:bidi="ar"/>
        </w:rPr>
      </w:pPr>
    </w:p>
    <w:p>
      <w:pPr>
        <w:widowControl w:val="0"/>
        <w:ind w:firstLine="0" w:firstLineChars="0"/>
        <w:jc w:val="center"/>
        <w:rPr>
          <w:rFonts w:ascii="楷体" w:hAnsi="楷体" w:eastAsia="楷体" w:cs="楷体"/>
          <w:sz w:val="24"/>
        </w:rPr>
      </w:pPr>
      <w:r>
        <w:rPr>
          <w:rFonts w:hint="eastAsia" w:ascii="黑体" w:hAnsi="黑体" w:eastAsia="黑体"/>
          <w:sz w:val="32"/>
          <w:szCs w:val="32"/>
        </w:rPr>
        <w:t>第四章  权益保障</w:t>
      </w:r>
    </w:p>
    <w:p>
      <w:pPr>
        <w:widowControl w:val="0"/>
        <w:ind w:firstLine="480" w:firstLineChars="200"/>
        <w:jc w:val="both"/>
        <w:rPr>
          <w:rFonts w:ascii="楷体" w:hAnsi="楷体" w:eastAsia="楷体" w:cs="楷体"/>
          <w:sz w:val="24"/>
        </w:rPr>
      </w:pPr>
    </w:p>
    <w:p>
      <w:pPr>
        <w:widowControl w:val="0"/>
        <w:ind w:firstLine="640" w:firstLineChars="200"/>
        <w:jc w:val="both"/>
        <w:rPr>
          <w:rFonts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市、区人民政府及其有关部门在土地供应、税费减免</w:t>
      </w:r>
      <w:r>
        <w:rPr>
          <w:rFonts w:hint="eastAsia" w:ascii="仿宋_GB2312" w:hAnsi="仿宋_GB2312" w:eastAsia="仿宋_GB2312" w:cs="仿宋_GB2312"/>
          <w:sz w:val="32"/>
          <w:szCs w:val="32"/>
        </w:rPr>
        <w:t>、资质许可、项目申报、职称评聘、</w:t>
      </w:r>
      <w:r>
        <w:rPr>
          <w:rFonts w:hint="eastAsia" w:ascii="仿宋_GB2312" w:eastAsia="仿宋_GB2312"/>
          <w:sz w:val="32"/>
          <w:szCs w:val="32"/>
        </w:rPr>
        <w:t>人力资源管理、政府采购以及应对自然灾害、公共卫生突发事件等方面，应当依法平等对待外商投资企业。</w:t>
      </w:r>
    </w:p>
    <w:p>
      <w:pPr>
        <w:widowControl w:val="0"/>
        <w:ind w:firstLine="640" w:firstLineChars="200"/>
        <w:jc w:val="both"/>
        <w:rPr>
          <w:rFonts w:ascii="仿宋_GB2312" w:hAnsi="宋体" w:eastAsia="仿宋_GB2312"/>
          <w:sz w:val="32"/>
          <w:szCs w:val="32"/>
        </w:rPr>
      </w:pPr>
      <w:r>
        <w:rPr>
          <w:rFonts w:hint="eastAsia" w:ascii="黑体" w:hAnsi="黑体" w:eastAsia="黑体"/>
          <w:sz w:val="32"/>
          <w:szCs w:val="32"/>
          <w:highlight w:val="none"/>
        </w:rPr>
        <w:t>第二十</w:t>
      </w:r>
      <w:r>
        <w:rPr>
          <w:rFonts w:hint="eastAsia" w:ascii="黑体" w:hAnsi="黑体" w:eastAsia="黑体"/>
          <w:sz w:val="32"/>
          <w:szCs w:val="32"/>
          <w:highlight w:val="none"/>
          <w:lang w:eastAsia="zh-CN"/>
        </w:rPr>
        <w:t>一</w:t>
      </w:r>
      <w:r>
        <w:rPr>
          <w:rFonts w:hint="eastAsia" w:ascii="黑体" w:hAnsi="黑体" w:eastAsia="黑体"/>
          <w:sz w:val="32"/>
          <w:szCs w:val="32"/>
          <w:highlight w:val="none"/>
        </w:rPr>
        <w:t xml:space="preserve">条  </w:t>
      </w:r>
      <w:r>
        <w:rPr>
          <w:rFonts w:hint="eastAsia" w:ascii="仿宋_GB2312" w:hAnsi="宋体" w:eastAsia="仿宋_GB2312"/>
          <w:sz w:val="32"/>
          <w:szCs w:val="32"/>
        </w:rPr>
        <w:t>依法平等保护外国投资者、外商投资企业的知识产权，建立健全跨区域、跨部门知识产权快速协同保护机制以及知识产权行政执法保护体系，依法处理侵害外国投资者、外商投资企业知识产权的行为。</w:t>
      </w:r>
    </w:p>
    <w:p>
      <w:pPr>
        <w:ind w:firstLine="640" w:firstLineChars="200"/>
        <w:jc w:val="both"/>
        <w:rPr>
          <w:rFonts w:ascii="楷体" w:hAnsi="楷体" w:eastAsia="楷体" w:cs="楷体"/>
          <w:sz w:val="24"/>
        </w:rPr>
      </w:pPr>
      <w:r>
        <w:rPr>
          <w:rFonts w:hint="eastAsia" w:ascii="仿宋_GB2312" w:hAnsi="宋体" w:eastAsia="仿宋_GB2312"/>
          <w:sz w:val="32"/>
          <w:szCs w:val="32"/>
        </w:rPr>
        <w:t>市、区人民法院对于外国投资者、外商投资企业涉及知识产权的财产保全、证据保全、行为保全申请，应当依法及时受理和审查；对于故意侵犯知识产权情节严重的，依法适用惩罚性赔偿。</w:t>
      </w:r>
    </w:p>
    <w:p>
      <w:pPr>
        <w:ind w:firstLine="640" w:firstLineChars="200"/>
        <w:jc w:val="both"/>
        <w:rPr>
          <w:rFonts w:ascii="楷体" w:hAnsi="楷体" w:eastAsia="楷体" w:cs="楷体"/>
          <w:sz w:val="24"/>
        </w:rPr>
      </w:pPr>
      <w:r>
        <w:rPr>
          <w:rFonts w:hint="eastAsia" w:ascii="黑体" w:hAnsi="黑体" w:eastAsia="黑体"/>
          <w:sz w:val="32"/>
          <w:szCs w:val="32"/>
        </w:rPr>
        <w:t>第二十</w:t>
      </w:r>
      <w:r>
        <w:rPr>
          <w:rFonts w:hint="eastAsia" w:ascii="黑体" w:hAnsi="黑体" w:eastAsia="黑体"/>
          <w:sz w:val="32"/>
          <w:szCs w:val="32"/>
          <w:lang w:eastAsia="zh-CN"/>
        </w:rPr>
        <w:t>二</w:t>
      </w:r>
      <w:r>
        <w:rPr>
          <w:rFonts w:hint="eastAsia" w:ascii="黑体" w:hAnsi="黑体" w:eastAsia="黑体"/>
          <w:sz w:val="32"/>
          <w:szCs w:val="32"/>
        </w:rPr>
        <w:t xml:space="preserve">条  </w:t>
      </w:r>
      <w:r>
        <w:rPr>
          <w:rFonts w:hint="eastAsia" w:ascii="仿宋_GB2312" w:hAnsi="宋体" w:eastAsia="仿宋_GB2312"/>
          <w:sz w:val="32"/>
          <w:szCs w:val="32"/>
        </w:rPr>
        <w:t>鼓励外国投资者、外商投资企业基于自愿原则和商业规则与高等院校、科研机构</w:t>
      </w:r>
      <w:r>
        <w:rPr>
          <w:rFonts w:hint="eastAsia" w:ascii="仿宋_GB2312" w:hAnsi="宋体" w:eastAsia="仿宋_GB2312"/>
          <w:sz w:val="32"/>
          <w:szCs w:val="32"/>
          <w:lang w:eastAsia="zh-CN"/>
        </w:rPr>
        <w:t>、</w:t>
      </w:r>
      <w:r>
        <w:rPr>
          <w:rFonts w:hint="eastAsia" w:ascii="仿宋_GB2312" w:hAnsi="宋体" w:eastAsia="仿宋_GB2312"/>
          <w:sz w:val="32"/>
          <w:szCs w:val="32"/>
          <w:highlight w:val="none"/>
          <w:lang w:eastAsia="zh-CN"/>
        </w:rPr>
        <w:t>行业协会以及其他企业等</w:t>
      </w:r>
      <w:r>
        <w:rPr>
          <w:rFonts w:hint="eastAsia" w:ascii="仿宋_GB2312" w:hAnsi="宋体" w:eastAsia="仿宋_GB2312"/>
          <w:sz w:val="32"/>
          <w:szCs w:val="32"/>
        </w:rPr>
        <w:t>开展技术合作。技术侵权责任承担、改进技术的归属等技术合作条件，由合作各方依法平等协商确定。法律另有规定的，依照其规定。</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三</w:t>
      </w:r>
      <w:r>
        <w:rPr>
          <w:rFonts w:hint="eastAsia" w:ascii="黑体" w:hAnsi="黑体" w:eastAsia="黑体"/>
          <w:sz w:val="32"/>
          <w:szCs w:val="32"/>
        </w:rPr>
        <w:t xml:space="preserve">条  </w:t>
      </w:r>
      <w:r>
        <w:rPr>
          <w:rFonts w:hint="eastAsia" w:ascii="仿宋_GB2312" w:eastAsia="仿宋_GB2312"/>
          <w:sz w:val="32"/>
          <w:szCs w:val="32"/>
        </w:rPr>
        <w:t>保障外商投资企业依法平等参与</w:t>
      </w:r>
      <w:r>
        <w:rPr>
          <w:rFonts w:hint="eastAsia" w:ascii="仿宋_GB2312" w:eastAsia="仿宋_GB2312"/>
          <w:sz w:val="32"/>
          <w:szCs w:val="32"/>
          <w:lang w:eastAsia="zh-CN"/>
        </w:rPr>
        <w:t>地方</w:t>
      </w:r>
      <w:r>
        <w:rPr>
          <w:rFonts w:hint="eastAsia" w:ascii="仿宋_GB2312" w:eastAsia="仿宋_GB2312"/>
          <w:sz w:val="32"/>
          <w:szCs w:val="32"/>
        </w:rPr>
        <w:t>标准的制定、修订工作。制定与外商投资企业生产经营密切相关的</w:t>
      </w:r>
      <w:r>
        <w:rPr>
          <w:rFonts w:hint="eastAsia" w:ascii="仿宋_GB2312" w:eastAsia="仿宋_GB2312"/>
          <w:sz w:val="32"/>
          <w:szCs w:val="32"/>
          <w:lang w:eastAsia="zh-CN"/>
        </w:rPr>
        <w:t>地方</w:t>
      </w:r>
      <w:r>
        <w:rPr>
          <w:rFonts w:hint="eastAsia" w:ascii="仿宋_GB2312" w:eastAsia="仿宋_GB2312"/>
          <w:sz w:val="32"/>
          <w:szCs w:val="32"/>
        </w:rPr>
        <w:t>标准，</w:t>
      </w:r>
      <w:r>
        <w:rPr>
          <w:rFonts w:hint="eastAsia" w:ascii="仿宋_GB2312" w:eastAsia="仿宋_GB2312"/>
          <w:sz w:val="32"/>
          <w:szCs w:val="32"/>
          <w:lang w:eastAsia="zh-CN"/>
        </w:rPr>
        <w:t>应当</w:t>
      </w:r>
      <w:r>
        <w:rPr>
          <w:rFonts w:hint="eastAsia" w:ascii="仿宋_GB2312" w:eastAsia="仿宋_GB2312"/>
          <w:sz w:val="32"/>
          <w:szCs w:val="32"/>
        </w:rPr>
        <w:t>听取外商投资企业意见，</w:t>
      </w:r>
      <w:r>
        <w:rPr>
          <w:rFonts w:hint="eastAsia" w:ascii="仿宋_GB2312" w:eastAsia="仿宋_GB2312"/>
          <w:sz w:val="32"/>
          <w:szCs w:val="32"/>
          <w:lang w:eastAsia="zh-CN"/>
        </w:rPr>
        <w:t>并可以</w:t>
      </w:r>
      <w:r>
        <w:rPr>
          <w:rFonts w:hint="eastAsia" w:ascii="仿宋_GB2312" w:eastAsia="仿宋_GB2312"/>
          <w:sz w:val="32"/>
          <w:szCs w:val="32"/>
        </w:rPr>
        <w:t>根据需要提供标准征求意见稿的英文</w:t>
      </w:r>
      <w:r>
        <w:rPr>
          <w:rFonts w:hint="eastAsia" w:ascii="仿宋_GB2312" w:eastAsia="仿宋_GB2312"/>
          <w:sz w:val="32"/>
          <w:szCs w:val="32"/>
          <w:lang w:eastAsia="zh-CN"/>
        </w:rPr>
        <w:t>等其他语种</w:t>
      </w:r>
      <w:r>
        <w:rPr>
          <w:rFonts w:hint="eastAsia" w:ascii="仿宋_GB2312" w:eastAsia="仿宋_GB2312"/>
          <w:sz w:val="32"/>
          <w:szCs w:val="32"/>
        </w:rPr>
        <w:t>译本或者摘要。</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鼓励外商投资企业制定高于推荐性标准相关技术要求和具有国际先进水平的企业标准，引导外商投资企业将科技创新成果转化为企业标准。</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外商投资企业可以推荐本企业相关领域的专家参加本市各类专业标准化技术委员会。鼓励和支持外商投资企业专家参加全国或者广东省专业标准化技术委员会。</w:t>
      </w:r>
    </w:p>
    <w:p>
      <w:pPr>
        <w:widowControl w:val="0"/>
        <w:ind w:firstLine="640" w:firstLineChars="200"/>
        <w:jc w:val="both"/>
      </w:pPr>
      <w:r>
        <w:rPr>
          <w:rFonts w:hint="eastAsia" w:ascii="黑体" w:hAnsi="黑体" w:eastAsia="黑体"/>
          <w:sz w:val="32"/>
          <w:szCs w:val="32"/>
        </w:rPr>
        <w:t>第二十</w:t>
      </w:r>
      <w:r>
        <w:rPr>
          <w:rFonts w:hint="eastAsia" w:ascii="黑体" w:hAnsi="黑体" w:eastAsia="黑体"/>
          <w:sz w:val="32"/>
          <w:szCs w:val="32"/>
          <w:lang w:eastAsia="zh-CN"/>
        </w:rPr>
        <w:t>四</w:t>
      </w:r>
      <w:r>
        <w:rPr>
          <w:rFonts w:hint="eastAsia" w:ascii="黑体" w:hAnsi="黑体" w:eastAsia="黑体"/>
          <w:sz w:val="32"/>
          <w:szCs w:val="32"/>
        </w:rPr>
        <w:t xml:space="preserve">条  </w:t>
      </w:r>
      <w:r>
        <w:rPr>
          <w:rFonts w:hint="eastAsia" w:ascii="仿宋_GB2312" w:hAnsi="宋体" w:eastAsia="仿宋_GB2312"/>
          <w:sz w:val="32"/>
          <w:szCs w:val="32"/>
        </w:rPr>
        <w:t>制定与外商投资有关的地方性法规、规章、规范性文件，起草部门应当根据实际情况采取书面征求意见或者召开座谈会等形式听取外商投资企业和有关商会、</w:t>
      </w:r>
      <w:r>
        <w:rPr>
          <w:rFonts w:hint="eastAsia" w:ascii="仿宋_GB2312" w:hAnsi="宋体" w:eastAsia="仿宋_GB2312"/>
          <w:sz w:val="32"/>
          <w:szCs w:val="32"/>
          <w:lang w:eastAsia="zh-CN"/>
        </w:rPr>
        <w:t>行业</w:t>
      </w:r>
      <w:r>
        <w:rPr>
          <w:rFonts w:hint="eastAsia" w:ascii="仿宋_GB2312" w:hAnsi="宋体" w:eastAsia="仿宋_GB2312"/>
          <w:sz w:val="32"/>
          <w:szCs w:val="32"/>
        </w:rPr>
        <w:t>协会等方面的意见和建议，并建立健全意见建议采纳情况反馈机制。</w:t>
      </w:r>
    </w:p>
    <w:p>
      <w:pPr>
        <w:widowControl w:val="0"/>
        <w:ind w:firstLine="640" w:firstLineChars="200"/>
        <w:jc w:val="both"/>
        <w:rPr>
          <w:rFonts w:ascii="仿宋_GB2312" w:hAnsi="宋体" w:eastAsia="仿宋_GB2312"/>
          <w:sz w:val="32"/>
          <w:szCs w:val="32"/>
        </w:rPr>
      </w:pPr>
      <w:r>
        <w:rPr>
          <w:rFonts w:hint="eastAsia" w:ascii="仿宋_GB2312" w:hAnsi="宋体" w:eastAsia="仿宋_GB2312"/>
          <w:sz w:val="32"/>
          <w:szCs w:val="32"/>
        </w:rPr>
        <w:t>制定与外商投资企业生产经营活动密切相关的规范性文件，应当为外商投资企业留出必要的适应调整期，但是国家另有规定或者公布后不立即施行将有碍施行的除外。</w:t>
      </w:r>
    </w:p>
    <w:p>
      <w:pPr>
        <w:widowControl w:val="0"/>
        <w:ind w:firstLine="640" w:firstLineChars="200"/>
        <w:jc w:val="both"/>
      </w:pPr>
      <w:r>
        <w:rPr>
          <w:rFonts w:hint="eastAsia" w:ascii="仿宋_GB2312" w:hAnsi="宋体" w:eastAsia="仿宋_GB2312"/>
          <w:sz w:val="32"/>
          <w:szCs w:val="32"/>
        </w:rPr>
        <w:t>出台与外商投资密切相关的地方性法规、规章、规范性文件，相关职能部门应当做好宣传、解读，可以根据实际情况提供相应的英文等其他语种译本。</w:t>
      </w:r>
    </w:p>
    <w:p>
      <w:pPr>
        <w:widowControl w:val="0"/>
        <w:ind w:firstLine="640" w:firstLineChars="200"/>
        <w:jc w:val="both"/>
      </w:pPr>
      <w:r>
        <w:rPr>
          <w:rFonts w:hint="eastAsia" w:ascii="黑体" w:hAnsi="黑体" w:eastAsia="黑体"/>
          <w:sz w:val="32"/>
          <w:szCs w:val="32"/>
        </w:rPr>
        <w:t>第二十</w:t>
      </w:r>
      <w:r>
        <w:rPr>
          <w:rFonts w:hint="eastAsia" w:ascii="黑体" w:hAnsi="黑体" w:eastAsia="黑体"/>
          <w:sz w:val="32"/>
          <w:szCs w:val="32"/>
          <w:lang w:eastAsia="zh-CN"/>
        </w:rPr>
        <w:t>五</w:t>
      </w:r>
      <w:r>
        <w:rPr>
          <w:rFonts w:hint="eastAsia" w:ascii="黑体" w:hAnsi="黑体" w:eastAsia="黑体"/>
          <w:sz w:val="32"/>
          <w:szCs w:val="32"/>
        </w:rPr>
        <w:t xml:space="preserve">条  </w:t>
      </w:r>
      <w:r>
        <w:rPr>
          <w:rFonts w:hint="eastAsia" w:ascii="仿宋_GB2312" w:hAnsi="宋体" w:eastAsia="仿宋_GB2312"/>
          <w:sz w:val="32"/>
          <w:szCs w:val="32"/>
        </w:rPr>
        <w:t>市商务部门应当会同相关部门，根据新形势新要求对涉及外商投资的本市现行法规、规章、规范性文件进行梳理，对与促进外商投资、保护外商投资合法权益不相适应的，应当按照程序向有关部门提出修改建议。</w:t>
      </w:r>
    </w:p>
    <w:p>
      <w:pPr>
        <w:widowControl w:val="0"/>
        <w:ind w:firstLine="640" w:firstLineChars="200"/>
        <w:jc w:val="both"/>
        <w:rPr>
          <w:rFonts w:ascii="仿宋_GB2312" w:hAnsi="宋体"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六</w:t>
      </w:r>
      <w:r>
        <w:rPr>
          <w:rFonts w:hint="eastAsia" w:ascii="黑体" w:hAnsi="黑体" w:eastAsia="黑体"/>
          <w:sz w:val="32"/>
          <w:szCs w:val="32"/>
        </w:rPr>
        <w:t xml:space="preserve">条  </w:t>
      </w:r>
      <w:r>
        <w:rPr>
          <w:rFonts w:hint="eastAsia" w:ascii="仿宋_GB2312" w:hAnsi="宋体" w:eastAsia="仿宋_GB2312"/>
          <w:sz w:val="32"/>
          <w:szCs w:val="32"/>
        </w:rPr>
        <w:t>市商务部门负责外商投资企业及其投资者的投诉处理，受理涉及市级事权、影响重大、上级部门转交以及跨区的外商投资投诉事项，并定期通报投诉处理情况。</w:t>
      </w:r>
    </w:p>
    <w:p>
      <w:pPr>
        <w:widowControl w:val="0"/>
        <w:ind w:firstLine="640" w:firstLineChars="200"/>
        <w:jc w:val="both"/>
        <w:rPr>
          <w:rFonts w:ascii="仿宋_GB2312" w:hAnsi="宋体" w:eastAsia="仿宋_GB2312"/>
          <w:sz w:val="32"/>
          <w:szCs w:val="32"/>
        </w:rPr>
      </w:pPr>
      <w:r>
        <w:rPr>
          <w:rFonts w:hint="eastAsia" w:ascii="仿宋_GB2312" w:hAnsi="宋体" w:eastAsia="仿宋_GB2312"/>
          <w:sz w:val="32"/>
          <w:szCs w:val="32"/>
        </w:rPr>
        <w:t>各区人民政府应当指定部门受理本辖区内的外商投资企业投诉事项和市商务部门转交的外商投资投诉事项。</w:t>
      </w:r>
    </w:p>
    <w:p>
      <w:pPr>
        <w:widowControl w:val="0"/>
        <w:ind w:firstLine="640" w:firstLineChars="200"/>
        <w:jc w:val="both"/>
        <w:rPr>
          <w:rFonts w:ascii="仿宋_GB2312" w:hAnsi="宋体" w:eastAsia="仿宋_GB2312"/>
          <w:sz w:val="32"/>
          <w:szCs w:val="32"/>
        </w:rPr>
      </w:pPr>
      <w:r>
        <w:rPr>
          <w:rFonts w:hint="eastAsia" w:ascii="仿宋_GB2312" w:hAnsi="宋体" w:eastAsia="仿宋_GB2312"/>
          <w:sz w:val="32"/>
          <w:szCs w:val="32"/>
        </w:rPr>
        <w:t>外商投资企业或者其投资者认为</w:t>
      </w:r>
      <w:r>
        <w:rPr>
          <w:rFonts w:hint="eastAsia" w:ascii="仿宋_GB2312" w:eastAsia="仿宋_GB2312"/>
          <w:sz w:val="32"/>
          <w:szCs w:val="32"/>
        </w:rPr>
        <w:t>本市</w:t>
      </w:r>
      <w:r>
        <w:rPr>
          <w:rFonts w:hint="eastAsia" w:ascii="仿宋_GB2312" w:hAnsi="宋体" w:eastAsia="仿宋_GB2312"/>
          <w:sz w:val="32"/>
          <w:szCs w:val="32"/>
        </w:rPr>
        <w:t>行政机关及其工作人员的行政行为侵犯其合法权益的，可以依照国家关于外商投资企业投诉工作机制的规定申请协调解决，也可以依法申请行政复议、提起行政诉讼。</w:t>
      </w:r>
    </w:p>
    <w:p>
      <w:pPr>
        <w:widowControl w:val="0"/>
        <w:ind w:firstLine="640" w:firstLineChars="200"/>
        <w:jc w:val="both"/>
        <w:rPr>
          <w:rFonts w:ascii="仿宋_GB2312" w:hAnsi="宋体"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七</w:t>
      </w:r>
      <w:r>
        <w:rPr>
          <w:rFonts w:hint="eastAsia" w:ascii="黑体" w:hAnsi="黑体" w:eastAsia="黑体"/>
          <w:sz w:val="32"/>
          <w:szCs w:val="32"/>
        </w:rPr>
        <w:t xml:space="preserve">条  </w:t>
      </w:r>
      <w:r>
        <w:rPr>
          <w:rFonts w:hint="eastAsia" w:ascii="仿宋_GB2312" w:hAnsi="宋体" w:eastAsia="仿宋_GB2312"/>
          <w:sz w:val="32"/>
          <w:szCs w:val="32"/>
        </w:rPr>
        <w:t>负责外商投资投诉处理工作的部门</w:t>
      </w:r>
      <w:r>
        <w:rPr>
          <w:rFonts w:hint="eastAsia" w:ascii="仿宋_GB2312" w:hAnsi="宋体" w:eastAsia="仿宋_GB2312"/>
          <w:color w:val="000000"/>
          <w:sz w:val="32"/>
          <w:szCs w:val="32"/>
        </w:rPr>
        <w:t>应当推动实现投诉事项全流程网上办理，促进外商投资企业投诉</w:t>
      </w:r>
      <w:r>
        <w:rPr>
          <w:rFonts w:hint="eastAsia" w:ascii="仿宋_GB2312" w:hAnsi="宋体" w:eastAsia="仿宋_GB2312"/>
          <w:sz w:val="32"/>
          <w:szCs w:val="32"/>
        </w:rPr>
        <w:t>处理</w:t>
      </w:r>
      <w:r>
        <w:rPr>
          <w:rFonts w:hint="eastAsia" w:ascii="仿宋_GB2312" w:hAnsi="宋体" w:eastAsia="仿宋_GB2312"/>
          <w:color w:val="000000"/>
          <w:sz w:val="32"/>
          <w:szCs w:val="32"/>
        </w:rPr>
        <w:t>工作跨区、跨部门、跨层级数据共享和业务协同。</w:t>
      </w:r>
    </w:p>
    <w:p>
      <w:pPr>
        <w:widowControl w:val="0"/>
        <w:ind w:firstLine="640" w:firstLineChars="200"/>
        <w:jc w:val="both"/>
        <w:rPr>
          <w:rFonts w:ascii="仿宋_GB2312" w:hAnsi="宋体" w:eastAsia="仿宋_GB2312"/>
          <w:sz w:val="32"/>
          <w:szCs w:val="32"/>
        </w:rPr>
      </w:pPr>
      <w:r>
        <w:rPr>
          <w:rFonts w:hint="eastAsia" w:ascii="仿宋_GB2312" w:hAnsi="宋体" w:eastAsia="仿宋_GB2312"/>
          <w:sz w:val="32"/>
          <w:szCs w:val="32"/>
        </w:rPr>
        <w:t>投诉人提出投诉事项应当依照有关规定提交书面投诉材料。投诉材料不齐全的，负责外商投资投诉处理工作的部门应当在收到投诉材料后五个工作日内一次性书面通知投诉人在十五个工作日内补正。</w:t>
      </w:r>
    </w:p>
    <w:p>
      <w:pPr>
        <w:widowControl w:val="0"/>
        <w:ind w:firstLine="640" w:firstLineChars="200"/>
        <w:jc w:val="both"/>
        <w:rPr>
          <w:rFonts w:ascii="仿宋_GB2312" w:hAnsi="宋体" w:eastAsia="仿宋_GB2312"/>
          <w:sz w:val="32"/>
          <w:szCs w:val="32"/>
        </w:rPr>
      </w:pPr>
      <w:r>
        <w:rPr>
          <w:rFonts w:hint="eastAsia" w:ascii="仿宋_GB2312" w:hAnsi="宋体" w:eastAsia="仿宋_GB2312"/>
          <w:sz w:val="32"/>
          <w:szCs w:val="32"/>
        </w:rPr>
        <w:t>负责外商投资投诉处理工作的部门应当在接到完整齐备的投诉材料后五个工作日内决定是否受理。决定受理的，应当在作出受理决定后二十个工作日内作出处理决定；事项复杂确需延期的，应当在作出受理决定后五十个工作日内作出处理决定，并告知投诉人延期理由。不予受理的，应当于五个工作日内向投诉人发出决定不予受理通知书并说明不予受理的理由。</w:t>
      </w:r>
    </w:p>
    <w:p>
      <w:pPr>
        <w:widowControl w:val="0"/>
        <w:ind w:firstLine="640" w:firstLineChars="200"/>
        <w:jc w:val="both"/>
        <w:rPr>
          <w:rFonts w:ascii="仿宋_GB2312" w:hAnsi="宋体" w:eastAsia="仿宋_GB2312"/>
          <w:sz w:val="32"/>
          <w:szCs w:val="32"/>
        </w:rPr>
      </w:pPr>
      <w:r>
        <w:rPr>
          <w:rFonts w:hint="eastAsia" w:ascii="黑体" w:hAnsi="黑体" w:eastAsia="黑体"/>
          <w:sz w:val="32"/>
          <w:szCs w:val="32"/>
          <w:highlight w:val="none"/>
        </w:rPr>
        <w:t>第</w:t>
      </w:r>
      <w:r>
        <w:rPr>
          <w:rFonts w:hint="eastAsia" w:ascii="黑体" w:hAnsi="黑体" w:eastAsia="黑体"/>
          <w:sz w:val="32"/>
          <w:szCs w:val="32"/>
          <w:highlight w:val="none"/>
          <w:lang w:eastAsia="zh-CN"/>
        </w:rPr>
        <w:t>二十八</w:t>
      </w:r>
      <w:r>
        <w:rPr>
          <w:rFonts w:hint="eastAsia" w:ascii="黑体" w:hAnsi="黑体" w:eastAsia="黑体"/>
          <w:sz w:val="32"/>
          <w:szCs w:val="32"/>
          <w:highlight w:val="none"/>
        </w:rPr>
        <w:t xml:space="preserve">条  </w:t>
      </w:r>
      <w:r>
        <w:rPr>
          <w:rFonts w:hint="eastAsia" w:ascii="仿宋_GB2312" w:hAnsi="宋体" w:eastAsia="仿宋_GB2312"/>
          <w:sz w:val="32"/>
          <w:szCs w:val="32"/>
        </w:rPr>
        <w:t>建立健全和解、调解、仲裁、行政裁决、行政复议、诉讼等国际化多元纠纷化解机制,为外商投资</w:t>
      </w:r>
      <w:r>
        <w:rPr>
          <w:rFonts w:hint="eastAsia" w:ascii="仿宋_GB2312" w:hAnsi="宋体" w:eastAsia="仿宋_GB2312"/>
          <w:sz w:val="32"/>
          <w:szCs w:val="32"/>
          <w:lang w:eastAsia="zh-CN"/>
        </w:rPr>
        <w:t>者和</w:t>
      </w:r>
      <w:r>
        <w:rPr>
          <w:rFonts w:hint="eastAsia" w:ascii="仿宋_GB2312" w:hAnsi="宋体" w:eastAsia="仿宋_GB2312"/>
          <w:sz w:val="32"/>
          <w:szCs w:val="32"/>
        </w:rPr>
        <w:t>外商投资企业提供便捷高效的纠纷解决途径。</w:t>
      </w:r>
    </w:p>
    <w:p>
      <w:pPr>
        <w:widowControl w:val="0"/>
        <w:ind w:firstLine="640" w:firstLineChars="200"/>
        <w:jc w:val="both"/>
        <w:rPr>
          <w:rFonts w:ascii="仿宋_GB2312" w:hAnsi="宋体" w:eastAsia="仿宋_GB2312"/>
          <w:sz w:val="32"/>
          <w:szCs w:val="32"/>
        </w:rPr>
      </w:pPr>
      <w:r>
        <w:rPr>
          <w:rFonts w:hint="eastAsia" w:ascii="仿宋_GB2312" w:hAnsi="宋体" w:eastAsia="仿宋_GB2312"/>
          <w:sz w:val="32"/>
          <w:szCs w:val="32"/>
        </w:rPr>
        <w:t>完善商事纠纷联合调解机制，发挥外籍与港澳台地区调解员在涉外纠纷中的调解作用，推动</w:t>
      </w:r>
      <w:r>
        <w:rPr>
          <w:rFonts w:hint="eastAsia" w:ascii="仿宋_GB2312" w:hAnsi="宋体" w:eastAsia="仿宋_GB2312"/>
          <w:sz w:val="32"/>
          <w:szCs w:val="32"/>
          <w:lang w:eastAsia="zh-CN"/>
        </w:rPr>
        <w:t>涉外商事争议</w:t>
      </w:r>
      <w:r>
        <w:rPr>
          <w:rFonts w:hint="eastAsia" w:ascii="仿宋_GB2312" w:hAnsi="宋体" w:eastAsia="仿宋_GB2312"/>
          <w:sz w:val="32"/>
          <w:szCs w:val="32"/>
        </w:rPr>
        <w:t>高效解决。</w:t>
      </w:r>
    </w:p>
    <w:p>
      <w:pPr>
        <w:pStyle w:val="7"/>
        <w:widowControl w:val="0"/>
        <w:spacing w:after="0"/>
        <w:ind w:firstLine="640" w:firstLineChars="200"/>
        <w:jc w:val="both"/>
        <w:rPr>
          <w:rFonts w:ascii="楷体" w:hAnsi="楷体" w:eastAsia="楷体" w:cs="楷体"/>
          <w:sz w:val="24"/>
          <w:highlight w:val="none"/>
        </w:rPr>
      </w:pPr>
      <w:r>
        <w:rPr>
          <w:rFonts w:hint="eastAsia" w:ascii="仿宋_GB2312" w:hAnsi="宋体" w:eastAsia="仿宋_GB2312"/>
          <w:sz w:val="32"/>
          <w:szCs w:val="32"/>
          <w:highlight w:val="none"/>
        </w:rPr>
        <w:t>支持仲裁机构探索机制创新,借鉴国际商事仲裁惯例,依法完善与外商投资相适应的仲裁规则,提高商事纠纷仲裁的国际化程度,提供独立、公正、专业、高效的仲裁服务。</w:t>
      </w:r>
    </w:p>
    <w:p>
      <w:pPr>
        <w:widowControl w:val="0"/>
        <w:ind w:firstLine="480" w:firstLineChars="200"/>
        <w:jc w:val="both"/>
        <w:rPr>
          <w:rFonts w:ascii="楷体" w:hAnsi="楷体" w:eastAsia="楷体" w:cs="楷体"/>
          <w:sz w:val="24"/>
        </w:rPr>
      </w:pPr>
    </w:p>
    <w:p>
      <w:pPr>
        <w:widowControl w:val="0"/>
        <w:ind w:firstLine="0" w:firstLineChars="0"/>
        <w:jc w:val="center"/>
        <w:rPr>
          <w:rFonts w:ascii="黑体" w:hAnsi="黑体" w:eastAsia="黑体" w:cs="黑体"/>
          <w:sz w:val="24"/>
        </w:rPr>
      </w:pPr>
      <w:r>
        <w:rPr>
          <w:rFonts w:hint="eastAsia" w:ascii="黑体" w:hAnsi="黑体" w:eastAsia="黑体"/>
          <w:sz w:val="32"/>
          <w:szCs w:val="32"/>
        </w:rPr>
        <w:t>第五章  政务服务</w:t>
      </w:r>
    </w:p>
    <w:p>
      <w:pPr>
        <w:widowControl w:val="0"/>
        <w:ind w:firstLine="640" w:firstLineChars="200"/>
        <w:jc w:val="both"/>
        <w:rPr>
          <w:rFonts w:ascii="黑体" w:hAnsi="黑体" w:eastAsia="黑体"/>
          <w:sz w:val="32"/>
          <w:szCs w:val="32"/>
        </w:rPr>
      </w:pP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二十九</w:t>
      </w:r>
      <w:r>
        <w:rPr>
          <w:rFonts w:hint="eastAsia" w:ascii="黑体" w:hAnsi="黑体" w:eastAsia="黑体"/>
          <w:sz w:val="32"/>
          <w:szCs w:val="32"/>
        </w:rPr>
        <w:t xml:space="preserve">条 </w:t>
      </w:r>
      <w:r>
        <w:rPr>
          <w:rFonts w:hint="eastAsia" w:ascii="仿宋_GB2312" w:eastAsia="仿宋_GB2312"/>
          <w:sz w:val="32"/>
          <w:szCs w:val="32"/>
        </w:rPr>
        <w:t xml:space="preserve"> 市、区人民政府应当建立由政府主导，专业机构、商会、协会和企业等多方参与的外商投资促进服务体系，为外国投资者、外商投资企业提供全方位、精准化的投资促进服务。</w:t>
      </w:r>
    </w:p>
    <w:p>
      <w:pPr>
        <w:pStyle w:val="2"/>
        <w:ind w:firstLine="627"/>
        <w:jc w:val="both"/>
      </w:pPr>
      <w:r>
        <w:rPr>
          <w:rFonts w:hint="eastAsia" w:ascii="仿宋_GB2312" w:eastAsia="仿宋_GB2312"/>
          <w:sz w:val="32"/>
          <w:szCs w:val="32"/>
        </w:rPr>
        <w:t>市商务部门应当</w:t>
      </w:r>
      <w:r>
        <w:rPr>
          <w:rFonts w:hint="eastAsia" w:ascii="仿宋_GB2312" w:eastAsia="仿宋_GB2312"/>
          <w:sz w:val="32"/>
          <w:szCs w:val="32"/>
          <w:highlight w:val="none"/>
        </w:rPr>
        <w:t>通过外商投资促进服务信息平台</w:t>
      </w:r>
      <w:r>
        <w:rPr>
          <w:rFonts w:hint="eastAsia" w:ascii="仿宋_GB2312" w:eastAsia="仿宋_GB2312"/>
          <w:sz w:val="32"/>
          <w:szCs w:val="32"/>
        </w:rPr>
        <w:t>，强化外商投资政策集成，集中列明有关外商投资的法律、法规、规章、规范性文件、政策措施和投资项目信息，向外国投资者、外商投资企业提供信息咨询、项目对接等服务。</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市、区商务部门应当会同其他相关部门定期编制和发布外商投资指引，并及时更新。</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外商投资指引应当包括本市经济社会基本情况、重点区域、优势领域等投资环境介绍，以及外商投资办事指南、投资促进项目信息和相关数据信息等内容。</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第三十</w:t>
      </w:r>
      <w:r>
        <w:rPr>
          <w:rFonts w:hint="eastAsia" w:ascii="黑体" w:hAnsi="黑体" w:eastAsia="黑体"/>
          <w:sz w:val="32"/>
          <w:szCs w:val="32"/>
          <w:lang w:eastAsia="zh-CN"/>
        </w:rPr>
        <w:t>一</w:t>
      </w:r>
      <w:r>
        <w:rPr>
          <w:rFonts w:hint="eastAsia" w:ascii="黑体" w:hAnsi="黑体" w:eastAsia="黑体"/>
          <w:sz w:val="32"/>
          <w:szCs w:val="32"/>
        </w:rPr>
        <w:t xml:space="preserve">条  </w:t>
      </w:r>
      <w:r>
        <w:rPr>
          <w:rFonts w:hint="eastAsia" w:ascii="仿宋_GB2312" w:eastAsia="仿宋_GB2312"/>
          <w:sz w:val="32"/>
          <w:szCs w:val="32"/>
        </w:rPr>
        <w:t>市、区商务部门应当推进外商投资政务服务标准化办理，编制并公布市、区外商投资政务服务事项目录及其办事指南。</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办事指南应当明确各政务服务事项的下列内容：</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（一）办理条件和流程；</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（二）所需材料清单；</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（三）容缺受理的条件；</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（四）办理环节和时限；</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（五）收费标准；</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（六）联系方式；</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（七）投诉渠道。</w:t>
      </w:r>
    </w:p>
    <w:p>
      <w:pPr>
        <w:widowControl w:val="0"/>
        <w:ind w:firstLine="640" w:firstLineChars="200"/>
        <w:jc w:val="both"/>
        <w:rPr>
          <w:rFonts w:ascii="仿宋_GB2312" w:eastAsia="仿宋_GB2312"/>
          <w:sz w:val="32"/>
          <w:szCs w:val="32"/>
        </w:rPr>
      </w:pPr>
      <w:r>
        <w:rPr>
          <w:rFonts w:hint="eastAsia" w:ascii="黑体" w:hAnsi="黑体" w:eastAsia="黑体"/>
          <w:sz w:val="32"/>
          <w:szCs w:val="32"/>
          <w:highlight w:val="none"/>
        </w:rPr>
        <w:t>第三十</w:t>
      </w:r>
      <w:r>
        <w:rPr>
          <w:rFonts w:hint="eastAsia" w:ascii="黑体" w:hAnsi="黑体" w:eastAsia="黑体"/>
          <w:sz w:val="32"/>
          <w:szCs w:val="32"/>
          <w:highlight w:val="none"/>
          <w:lang w:eastAsia="zh-CN"/>
        </w:rPr>
        <w:t>二</w:t>
      </w:r>
      <w:r>
        <w:rPr>
          <w:rFonts w:hint="eastAsia" w:ascii="黑体" w:hAnsi="黑体" w:eastAsia="黑体"/>
          <w:sz w:val="32"/>
          <w:szCs w:val="32"/>
          <w:highlight w:val="none"/>
        </w:rPr>
        <w:t xml:space="preserve">条  </w:t>
      </w:r>
      <w:r>
        <w:rPr>
          <w:rFonts w:hint="eastAsia" w:ascii="仿宋_GB2312" w:hAnsi="仿宋" w:eastAsia="仿宋_GB2312"/>
          <w:bCs/>
          <w:sz w:val="32"/>
          <w:szCs w:val="32"/>
          <w:highlight w:val="none"/>
        </w:rPr>
        <w:t>市商务部</w:t>
      </w:r>
      <w:r>
        <w:rPr>
          <w:rFonts w:hint="eastAsia" w:ascii="仿宋_GB2312" w:eastAsia="仿宋_GB2312"/>
          <w:sz w:val="32"/>
          <w:szCs w:val="32"/>
          <w:highlight w:val="none"/>
        </w:rPr>
        <w:t>门可以委托第三方专业机构</w:t>
      </w:r>
      <w:r>
        <w:rPr>
          <w:rFonts w:hint="eastAsia" w:ascii="仿宋_GB2312" w:hAnsi="仿宋" w:eastAsia="仿宋_GB2312"/>
          <w:bCs/>
          <w:sz w:val="32"/>
          <w:szCs w:val="32"/>
          <w:highlight w:val="none"/>
        </w:rPr>
        <w:t>对</w:t>
      </w:r>
      <w:r>
        <w:rPr>
          <w:rFonts w:hint="eastAsia" w:ascii="仿宋_GB2312" w:eastAsia="仿宋_GB2312"/>
          <w:sz w:val="32"/>
          <w:szCs w:val="32"/>
          <w:highlight w:val="none"/>
        </w:rPr>
        <w:t>本市</w:t>
      </w:r>
      <w:r>
        <w:rPr>
          <w:rFonts w:hint="eastAsia" w:ascii="仿宋_GB2312" w:hAnsi="仿宋" w:eastAsia="仿宋_GB2312"/>
          <w:bCs/>
          <w:sz w:val="32"/>
          <w:szCs w:val="32"/>
          <w:highlight w:val="none"/>
        </w:rPr>
        <w:t>外商投资营商环境</w:t>
      </w:r>
      <w:r>
        <w:rPr>
          <w:rFonts w:hint="eastAsia" w:ascii="仿宋_GB2312" w:hAnsi="仿宋" w:eastAsia="仿宋_GB2312"/>
          <w:bCs/>
          <w:sz w:val="32"/>
          <w:szCs w:val="32"/>
          <w:highlight w:val="none"/>
          <w:lang w:eastAsia="zh-CN"/>
        </w:rPr>
        <w:t>定期</w:t>
      </w:r>
      <w:r>
        <w:rPr>
          <w:rFonts w:hint="eastAsia" w:ascii="仿宋_GB2312" w:hAnsi="仿宋" w:eastAsia="仿宋_GB2312"/>
          <w:bCs/>
          <w:sz w:val="32"/>
          <w:szCs w:val="32"/>
          <w:highlight w:val="none"/>
        </w:rPr>
        <w:t>进行专项评估，并将评估报告结果向社会公布。</w:t>
      </w:r>
    </w:p>
    <w:p>
      <w:pPr>
        <w:pStyle w:val="7"/>
        <w:widowControl w:val="0"/>
        <w:spacing w:after="0"/>
        <w:ind w:firstLine="640" w:firstLineChars="200"/>
        <w:jc w:val="both"/>
        <w:rPr>
          <w:rFonts w:ascii="楷体" w:hAnsi="楷体" w:eastAsia="楷体" w:cs="楷体"/>
          <w:sz w:val="32"/>
          <w:szCs w:val="32"/>
        </w:rPr>
      </w:pPr>
      <w:r>
        <w:rPr>
          <w:rFonts w:hint="eastAsia" w:ascii="黑体" w:hAnsi="黑体" w:eastAsia="黑体"/>
          <w:sz w:val="32"/>
          <w:szCs w:val="32"/>
        </w:rPr>
        <w:t>第三十</w:t>
      </w:r>
      <w:r>
        <w:rPr>
          <w:rFonts w:hint="eastAsia" w:ascii="黑体" w:hAnsi="黑体" w:eastAsia="黑体"/>
          <w:sz w:val="32"/>
          <w:szCs w:val="32"/>
          <w:lang w:eastAsia="zh-CN"/>
        </w:rPr>
        <w:t>三</w:t>
      </w:r>
      <w:r>
        <w:rPr>
          <w:rFonts w:hint="eastAsia" w:ascii="黑体" w:hAnsi="黑体" w:eastAsia="黑体"/>
          <w:sz w:val="32"/>
          <w:szCs w:val="32"/>
        </w:rPr>
        <w:t xml:space="preserve">条  </w:t>
      </w:r>
      <w:r>
        <w:rPr>
          <w:rFonts w:hint="eastAsia" w:ascii="仿宋_GB2312" w:eastAsia="仿宋_GB2312"/>
          <w:sz w:val="32"/>
          <w:szCs w:val="32"/>
        </w:rPr>
        <w:t>市商务部门应当建立健全重大外资项目服务制度，完善重大外资项目跟踪服务机制，实施台账管理和全流程跟踪服务。对列入重大外资项目清单的，通过建立绿色通道等方式，统筹推进准入、规划、用地、环保、用能、建设、外汇等事项，支持项目建设和发展。</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第三十</w:t>
      </w:r>
      <w:r>
        <w:rPr>
          <w:rFonts w:hint="eastAsia" w:ascii="黑体" w:hAnsi="黑体" w:eastAsia="黑体"/>
          <w:sz w:val="32"/>
          <w:szCs w:val="32"/>
          <w:lang w:eastAsia="zh-CN"/>
        </w:rPr>
        <w:t>四</w:t>
      </w:r>
      <w:r>
        <w:rPr>
          <w:rFonts w:hint="eastAsia" w:ascii="黑体" w:hAnsi="黑体" w:eastAsia="黑体"/>
          <w:sz w:val="32"/>
          <w:szCs w:val="32"/>
        </w:rPr>
        <w:t xml:space="preserve">条  </w:t>
      </w:r>
      <w:r>
        <w:rPr>
          <w:rFonts w:hint="eastAsia" w:ascii="仿宋_GB2312" w:eastAsia="仿宋_GB2312"/>
          <w:sz w:val="32"/>
          <w:szCs w:val="32"/>
        </w:rPr>
        <w:t>市、区人民政府可以出台招商工作激励措施，将招商成果、服务成效等纳入考核激励。</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鼓励</w:t>
      </w:r>
      <w:r>
        <w:rPr>
          <w:rFonts w:hint="eastAsia" w:ascii="仿宋_GB2312" w:hAnsi="仿宋_GB2312" w:eastAsia="仿宋_GB2312" w:cs="仿宋_GB2312"/>
          <w:sz w:val="32"/>
          <w:szCs w:val="32"/>
        </w:rPr>
        <w:t>相关类别的社会组织</w:t>
      </w:r>
      <w:r>
        <w:rPr>
          <w:rFonts w:hint="eastAsia" w:ascii="仿宋_GB2312" w:eastAsia="仿宋_GB2312"/>
          <w:sz w:val="32"/>
          <w:szCs w:val="32"/>
        </w:rPr>
        <w:t>、招商机构、外商投资企业引进符合市、区产业发展导向的外资项目，各区可</w:t>
      </w:r>
      <w:r>
        <w:rPr>
          <w:rFonts w:hint="eastAsia" w:ascii="仿宋_GB2312" w:hAnsi="仿宋_GB2312" w:eastAsia="仿宋_GB2312" w:cs="仿宋_GB2312"/>
          <w:sz w:val="32"/>
          <w:szCs w:val="32"/>
        </w:rPr>
        <w:t>以根据引</w:t>
      </w:r>
      <w:r>
        <w:rPr>
          <w:rFonts w:hint="eastAsia" w:ascii="仿宋_GB2312" w:eastAsia="仿宋_GB2312"/>
          <w:sz w:val="32"/>
          <w:szCs w:val="32"/>
        </w:rPr>
        <w:t>进项目实际情况给予奖励。</w:t>
      </w:r>
    </w:p>
    <w:p>
      <w:pPr>
        <w:widowControl w:val="0"/>
        <w:ind w:firstLine="640" w:firstLineChars="200"/>
        <w:jc w:val="both"/>
        <w:rPr>
          <w:rFonts w:ascii="仿宋_GB2312" w:eastAsia="仿宋_GB2312"/>
          <w:b/>
          <w:bCs/>
          <w:sz w:val="32"/>
          <w:szCs w:val="32"/>
        </w:rPr>
      </w:pPr>
      <w:r>
        <w:rPr>
          <w:rFonts w:hint="eastAsia" w:ascii="黑体" w:hAnsi="黑体" w:eastAsia="黑体"/>
          <w:sz w:val="32"/>
          <w:szCs w:val="32"/>
        </w:rPr>
        <w:t>第三十</w:t>
      </w:r>
      <w:r>
        <w:rPr>
          <w:rFonts w:hint="eastAsia" w:ascii="黑体" w:hAnsi="黑体" w:eastAsia="黑体"/>
          <w:sz w:val="32"/>
          <w:szCs w:val="32"/>
          <w:lang w:eastAsia="zh-CN"/>
        </w:rPr>
        <w:t>五</w:t>
      </w:r>
      <w:r>
        <w:rPr>
          <w:rFonts w:hint="eastAsia" w:ascii="黑体" w:hAnsi="黑体" w:eastAsia="黑体"/>
          <w:sz w:val="32"/>
          <w:szCs w:val="32"/>
        </w:rPr>
        <w:t xml:space="preserve">条  </w:t>
      </w:r>
      <w:r>
        <w:rPr>
          <w:rFonts w:hint="eastAsia" w:ascii="仿宋_GB2312" w:eastAsia="仿宋_GB2312"/>
          <w:sz w:val="32"/>
          <w:szCs w:val="32"/>
        </w:rPr>
        <w:t>鼓励外国投资者设立研发</w:t>
      </w:r>
      <w:r>
        <w:rPr>
          <w:rFonts w:hint="eastAsia" w:ascii="仿宋_GB2312" w:eastAsia="仿宋_GB2312"/>
          <w:sz w:val="32"/>
          <w:szCs w:val="32"/>
          <w:lang w:eastAsia="zh-CN"/>
        </w:rPr>
        <w:t>创新</w:t>
      </w:r>
      <w:r>
        <w:rPr>
          <w:rFonts w:hint="eastAsia" w:ascii="仿宋_GB2312" w:eastAsia="仿宋_GB2312"/>
          <w:sz w:val="32"/>
          <w:szCs w:val="32"/>
        </w:rPr>
        <w:t>中心</w:t>
      </w:r>
      <w:r>
        <w:rPr>
          <w:rFonts w:hint="eastAsia" w:ascii="仿宋_GB2312" w:eastAsia="仿宋_GB2312"/>
          <w:sz w:val="32"/>
          <w:szCs w:val="32"/>
          <w:lang w:eastAsia="zh-CN"/>
        </w:rPr>
        <w:t>、外资研发总部、开放式创新平台等</w:t>
      </w:r>
      <w:r>
        <w:rPr>
          <w:rFonts w:hint="eastAsia" w:ascii="仿宋_GB2312" w:eastAsia="仿宋_GB2312"/>
          <w:sz w:val="32"/>
          <w:szCs w:val="32"/>
        </w:rPr>
        <w:t>，支持外商投资企业加强自主研发。鼓励跨国公司与</w:t>
      </w:r>
      <w:r>
        <w:rPr>
          <w:rFonts w:hint="eastAsia" w:ascii="仿宋_GB2312" w:eastAsia="仿宋_GB2312"/>
          <w:sz w:val="32"/>
          <w:szCs w:val="32"/>
          <w:lang w:eastAsia="zh-CN"/>
        </w:rPr>
        <w:t>其他</w:t>
      </w:r>
      <w:r>
        <w:rPr>
          <w:rFonts w:hint="eastAsia" w:ascii="仿宋_GB2312" w:eastAsia="仿宋_GB2312"/>
          <w:sz w:val="32"/>
          <w:szCs w:val="32"/>
        </w:rPr>
        <w:t>企业、高等院校、科研机构建立联合研发机构，开展研发合作。支持境外的世界知名企业、高等院校、科研机构来深设立分支机构并享受相关优惠政策，促进重大科技成果落地转化。</w:t>
      </w:r>
    </w:p>
    <w:p>
      <w:pPr>
        <w:widowControl w:val="0"/>
        <w:ind w:firstLine="640" w:firstLineChars="200"/>
        <w:jc w:val="both"/>
        <w:rPr>
          <w:rFonts w:ascii="仿宋_GB2312" w:eastAsia="仿宋_GB2312"/>
          <w:sz w:val="32"/>
          <w:szCs w:val="32"/>
        </w:rPr>
      </w:pPr>
      <w:r>
        <w:rPr>
          <w:rFonts w:hint="eastAsia" w:ascii="仿宋_GB2312" w:hAnsi="仿宋_GB2312" w:eastAsia="仿宋_GB2312" w:cs="仿宋_GB2312"/>
          <w:sz w:val="32"/>
          <w:szCs w:val="32"/>
        </w:rPr>
        <w:t>纳入</w:t>
      </w:r>
      <w:r>
        <w:rPr>
          <w:rFonts w:hint="eastAsia" w:ascii="仿宋_GB2312" w:eastAsia="仿宋_GB2312"/>
          <w:sz w:val="32"/>
          <w:szCs w:val="32"/>
        </w:rPr>
        <w:t>本市</w:t>
      </w:r>
      <w:r>
        <w:rPr>
          <w:rFonts w:hint="eastAsia" w:ascii="仿宋_GB2312" w:hAnsi="仿宋_GB2312" w:eastAsia="仿宋_GB2312" w:cs="仿宋_GB2312"/>
          <w:sz w:val="32"/>
          <w:szCs w:val="32"/>
        </w:rPr>
        <w:t>科研设施与仪器开放共享服务平台统一管理的</w:t>
      </w:r>
      <w:r>
        <w:rPr>
          <w:rFonts w:hint="eastAsia" w:ascii="仿宋_GB2312" w:eastAsia="仿宋_GB2312"/>
          <w:sz w:val="32"/>
          <w:szCs w:val="32"/>
        </w:rPr>
        <w:t>大型科研仪器设施、重大科技基础设施，</w:t>
      </w:r>
      <w:r>
        <w:rPr>
          <w:rFonts w:hint="eastAsia" w:ascii="仿宋_GB2312" w:hAnsi="仿宋_GB2312" w:eastAsia="仿宋_GB2312" w:cs="仿宋_GB2312"/>
          <w:sz w:val="32"/>
          <w:szCs w:val="32"/>
        </w:rPr>
        <w:t>按照本市关于促进大型科学仪器设备共享管理的有关规定</w:t>
      </w:r>
      <w:r>
        <w:rPr>
          <w:rFonts w:hint="eastAsia" w:ascii="仿宋_GB2312" w:eastAsia="仿宋_GB2312"/>
          <w:sz w:val="32"/>
          <w:szCs w:val="32"/>
        </w:rPr>
        <w:t>向外商投资企业平等开放共享。外商投资企业平等参与本市研发公共服务平台建设、政府科技计划项目和重点实验室申报，并享受配套政策扶持。</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市、区科技创新部门应当为外商投资企业提供高新技术企业认定政策培训、指导和服务，支持符合条件的外商投资企业申报高新技术企业。</w:t>
      </w:r>
    </w:p>
    <w:p>
      <w:pPr>
        <w:widowControl w:val="0"/>
        <w:ind w:firstLine="640" w:firstLineChars="200"/>
        <w:jc w:val="both"/>
        <w:rPr>
          <w:rFonts w:ascii="楷体" w:hAnsi="楷体" w:eastAsia="楷体" w:cs="楷体"/>
          <w:sz w:val="32"/>
          <w:szCs w:val="32"/>
        </w:rPr>
      </w:pPr>
      <w:r>
        <w:rPr>
          <w:rFonts w:hint="eastAsia" w:ascii="黑体" w:hAnsi="黑体" w:eastAsia="黑体"/>
          <w:sz w:val="32"/>
          <w:szCs w:val="32"/>
        </w:rPr>
        <w:t>第三十</w:t>
      </w:r>
      <w:r>
        <w:rPr>
          <w:rFonts w:hint="eastAsia" w:ascii="黑体" w:hAnsi="黑体" w:eastAsia="黑体"/>
          <w:sz w:val="32"/>
          <w:szCs w:val="32"/>
          <w:lang w:eastAsia="zh-CN"/>
        </w:rPr>
        <w:t>六</w:t>
      </w:r>
      <w:r>
        <w:rPr>
          <w:rFonts w:hint="eastAsia" w:ascii="黑体" w:hAnsi="黑体" w:eastAsia="黑体"/>
          <w:sz w:val="32"/>
          <w:szCs w:val="32"/>
        </w:rPr>
        <w:t xml:space="preserve">条  </w:t>
      </w:r>
      <w:r>
        <w:rPr>
          <w:rFonts w:hint="eastAsia" w:ascii="仿宋_GB2312" w:eastAsia="仿宋_GB2312"/>
          <w:sz w:val="32"/>
          <w:szCs w:val="32"/>
        </w:rPr>
        <w:t>市、区商务部门应当加强涉外商务人才培养，加大外商投资促进培训力度，定期举办外商投资促进、保护、管理等有关培训活动，提高外商投资促进人员业务水平。</w:t>
      </w:r>
    </w:p>
    <w:p>
      <w:pPr>
        <w:widowControl w:val="0"/>
        <w:ind w:firstLine="640" w:firstLineChars="200"/>
        <w:jc w:val="both"/>
        <w:rPr>
          <w:rFonts w:hint="eastAsia" w:ascii="仿宋_GB2312" w:hAnsi="宋体" w:eastAsia="仿宋_GB2312"/>
          <w:sz w:val="32"/>
          <w:szCs w:val="32"/>
        </w:rPr>
      </w:pPr>
      <w:r>
        <w:rPr>
          <w:rFonts w:hint="eastAsia" w:ascii="黑体" w:hAnsi="黑体" w:eastAsia="黑体"/>
          <w:sz w:val="32"/>
          <w:szCs w:val="32"/>
        </w:rPr>
        <w:t>第三十</w:t>
      </w:r>
      <w:r>
        <w:rPr>
          <w:rFonts w:hint="eastAsia" w:ascii="黑体" w:hAnsi="黑体" w:eastAsia="黑体"/>
          <w:sz w:val="32"/>
          <w:szCs w:val="32"/>
          <w:lang w:eastAsia="zh-CN"/>
        </w:rPr>
        <w:t>七</w:t>
      </w:r>
      <w:r>
        <w:rPr>
          <w:rFonts w:hint="eastAsia" w:ascii="黑体" w:hAnsi="黑体" w:eastAsia="黑体"/>
          <w:sz w:val="32"/>
          <w:szCs w:val="32"/>
        </w:rPr>
        <w:t xml:space="preserve">条  </w:t>
      </w:r>
      <w:r>
        <w:rPr>
          <w:rFonts w:hint="eastAsia" w:ascii="仿宋_GB2312" w:hAnsi="宋体" w:eastAsia="仿宋_GB2312"/>
          <w:sz w:val="32"/>
          <w:szCs w:val="32"/>
        </w:rPr>
        <w:t>市、区人民政府及其有关部门应当建立健全与外商投资企业的政企沟通机制，通过定期协商、热线服务等方式广泛听取外商投资企业意见建议，</w:t>
      </w:r>
      <w:r>
        <w:rPr>
          <w:rFonts w:hint="eastAsia" w:ascii="仿宋_GB2312" w:hAnsi="宋体" w:eastAsia="仿宋_GB2312"/>
          <w:sz w:val="32"/>
          <w:szCs w:val="32"/>
          <w:lang w:eastAsia="zh-CN"/>
        </w:rPr>
        <w:t>对重大项目和重点企业进行全流程服务，跟踪项目在谈、签约、注册和运营的全过程，</w:t>
      </w:r>
      <w:r>
        <w:rPr>
          <w:rFonts w:hint="eastAsia" w:ascii="仿宋_GB2312" w:hAnsi="宋体" w:eastAsia="仿宋_GB2312"/>
          <w:sz w:val="32"/>
          <w:szCs w:val="32"/>
        </w:rPr>
        <w:t>及时了解并</w:t>
      </w:r>
      <w:r>
        <w:rPr>
          <w:rFonts w:hint="eastAsia" w:ascii="仿宋_GB2312" w:hAnsi="宋体" w:eastAsia="仿宋_GB2312"/>
          <w:sz w:val="32"/>
          <w:szCs w:val="32"/>
          <w:lang w:eastAsia="zh-CN"/>
        </w:rPr>
        <w:t>协调</w:t>
      </w:r>
      <w:r>
        <w:rPr>
          <w:rFonts w:hint="eastAsia" w:ascii="仿宋_GB2312" w:hAnsi="宋体" w:eastAsia="仿宋_GB2312"/>
          <w:sz w:val="32"/>
          <w:szCs w:val="32"/>
        </w:rPr>
        <w:t>解决其生产经营中遇到的问题。</w:t>
      </w:r>
    </w:p>
    <w:p>
      <w:pPr>
        <w:widowControl w:val="0"/>
        <w:ind w:firstLine="640" w:firstLineChars="200"/>
        <w:jc w:val="both"/>
      </w:pPr>
      <w:r>
        <w:rPr>
          <w:rFonts w:hint="eastAsia" w:ascii="黑体" w:hAnsi="黑体" w:eastAsia="黑体"/>
          <w:sz w:val="32"/>
          <w:szCs w:val="32"/>
        </w:rPr>
        <w:t>第三十</w:t>
      </w:r>
      <w:r>
        <w:rPr>
          <w:rFonts w:hint="eastAsia" w:ascii="黑体" w:hAnsi="黑体" w:eastAsia="黑体"/>
          <w:sz w:val="32"/>
          <w:szCs w:val="32"/>
          <w:lang w:eastAsia="zh-CN"/>
        </w:rPr>
        <w:t>八</w:t>
      </w:r>
      <w:r>
        <w:rPr>
          <w:rFonts w:hint="eastAsia" w:ascii="黑体" w:hAnsi="黑体" w:eastAsia="黑体"/>
          <w:sz w:val="32"/>
          <w:szCs w:val="32"/>
        </w:rPr>
        <w:t xml:space="preserve">条  </w:t>
      </w:r>
      <w:r>
        <w:rPr>
          <w:rFonts w:hint="eastAsia" w:ascii="仿宋_GB2312" w:eastAsia="仿宋_GB2312"/>
          <w:sz w:val="32"/>
          <w:szCs w:val="32"/>
        </w:rPr>
        <w:t>市商务、市场监管部门按照国家外商投资信息报告制度为外国投资者或者外商投资企业报送投资信息提供指导</w:t>
      </w:r>
      <w:r>
        <w:rPr>
          <w:rFonts w:hint="eastAsia" w:ascii="仿宋_GB2312" w:eastAsia="仿宋_GB2312"/>
          <w:color w:val="000000"/>
          <w:sz w:val="32"/>
          <w:szCs w:val="32"/>
        </w:rPr>
        <w:t>，通过部门信息共享能够获得的投资信息，不得再行要求外国投资者</w:t>
      </w:r>
      <w:r>
        <w:rPr>
          <w:rFonts w:hint="eastAsia" w:ascii="仿宋_GB2312" w:eastAsia="仿宋_GB2312"/>
          <w:color w:val="000000"/>
          <w:sz w:val="32"/>
          <w:szCs w:val="32"/>
          <w:lang w:eastAsia="zh-CN"/>
        </w:rPr>
        <w:t>、</w:t>
      </w:r>
      <w:r>
        <w:rPr>
          <w:rFonts w:hint="eastAsia" w:ascii="仿宋_GB2312" w:eastAsia="仿宋_GB2312"/>
          <w:color w:val="000000"/>
          <w:sz w:val="32"/>
          <w:szCs w:val="32"/>
        </w:rPr>
        <w:t>外商投资企业报送</w:t>
      </w:r>
      <w:r>
        <w:rPr>
          <w:rFonts w:hint="eastAsia" w:ascii="仿宋_GB2312" w:eastAsia="仿宋_GB2312"/>
          <w:color w:val="000000"/>
          <w:sz w:val="32"/>
          <w:szCs w:val="32"/>
          <w:lang w:eastAsia="zh-CN"/>
        </w:rPr>
        <w:t>；</w:t>
      </w:r>
      <w:r>
        <w:rPr>
          <w:rFonts w:hint="eastAsia" w:ascii="仿宋_GB2312" w:eastAsia="仿宋_GB2312"/>
          <w:color w:val="000000"/>
          <w:sz w:val="32"/>
          <w:szCs w:val="32"/>
        </w:rPr>
        <w:t>不得要求外国投资者、外商投资企业报送与外商投资无关的信息</w:t>
      </w:r>
      <w:r>
        <w:rPr>
          <w:rFonts w:hint="eastAsia" w:ascii="仿宋_GB2312" w:eastAsia="仿宋_GB2312"/>
          <w:color w:val="000000"/>
          <w:sz w:val="32"/>
          <w:szCs w:val="32"/>
          <w:lang w:eastAsia="zh-CN"/>
        </w:rPr>
        <w:t>；</w:t>
      </w:r>
      <w:r>
        <w:rPr>
          <w:rFonts w:hint="eastAsia" w:ascii="仿宋_GB2312" w:eastAsia="仿宋_GB2312"/>
          <w:color w:val="000000"/>
          <w:sz w:val="32"/>
          <w:szCs w:val="32"/>
        </w:rPr>
        <w:t>不得将报送投资信息作为外国投资者、外商投资企业办理企业登记或者其他手续的前置条件。</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三十九</w:t>
      </w:r>
      <w:r>
        <w:rPr>
          <w:rFonts w:hint="eastAsia" w:ascii="黑体" w:hAnsi="黑体" w:eastAsia="黑体"/>
          <w:sz w:val="32"/>
          <w:szCs w:val="32"/>
        </w:rPr>
        <w:t xml:space="preserve">条  </w:t>
      </w:r>
      <w:r>
        <w:rPr>
          <w:rFonts w:hint="eastAsia" w:ascii="仿宋_GB2312" w:eastAsia="仿宋_GB2312"/>
          <w:sz w:val="32"/>
          <w:szCs w:val="32"/>
        </w:rPr>
        <w:t>市、区司法行政部门应当鼓励和引导法律服务专业机构为外国投资者、外商投资企业提供法律咨询、合同审查、知识产权保护、股权设计、融资、税务、劳动用工、涉外纠纷等法律服务。</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对依据《中华人民共和国中外合资经营企业法》《中华人民共和国外资企业法》《中华人民共和国中外合作经营企业法》设立并保留原企业组织形式的外商投资企业，市、区商务部门可以为其提供过渡期专项法律咨询服务，指导其平稳完成组织形式等转型过渡。</w:t>
      </w:r>
    </w:p>
    <w:p>
      <w:pPr>
        <w:widowControl w:val="0"/>
        <w:ind w:firstLine="640" w:firstLineChars="200"/>
        <w:jc w:val="both"/>
        <w:rPr>
          <w:rFonts w:hint="eastAsia"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市人民政府及其相关部门应当运用人工智能、大数据、移动互联网等现代信息技术，为外商投资企业提供普惠式、智能化、便捷化的法律风险自测服务，支持和引导外商投资企业完善合规管理体系。</w:t>
      </w:r>
    </w:p>
    <w:p>
      <w:pPr>
        <w:widowControl w:val="0"/>
        <w:ind w:firstLine="640" w:firstLineChars="200"/>
        <w:jc w:val="both"/>
        <w:rPr>
          <w:rFonts w:hint="eastAsia" w:ascii="仿宋_GB2312" w:eastAsia="仿宋_GB2312"/>
          <w:sz w:val="32"/>
          <w:szCs w:val="32"/>
          <w:lang w:eastAsia="zh-CN"/>
        </w:rPr>
      </w:pPr>
      <w:r>
        <w:rPr>
          <w:rFonts w:hint="eastAsia" w:ascii="黑体" w:hAnsi="黑体" w:eastAsia="黑体"/>
          <w:sz w:val="32"/>
          <w:szCs w:val="32"/>
        </w:rPr>
        <w:t>第四十</w:t>
      </w:r>
      <w:r>
        <w:rPr>
          <w:rFonts w:hint="eastAsia" w:ascii="黑体" w:hAnsi="黑体" w:eastAsia="黑体"/>
          <w:sz w:val="32"/>
          <w:szCs w:val="32"/>
          <w:lang w:eastAsia="zh-CN"/>
        </w:rPr>
        <w:t>一</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_GB2312" w:eastAsia="仿宋_GB2312"/>
          <w:sz w:val="32"/>
          <w:szCs w:val="32"/>
          <w:lang w:eastAsia="zh-CN"/>
        </w:rPr>
        <w:t>海关应当按照国家促进跨境贸易便利化的有关要求，优化通关全链条业务流程，深化国际贸易单一窗口建设，提高通关效率；通过提供信用培育服务，指导符合条件的外商投资企业按照有关国际条约和国家关于海关企业信用管理的规定，申请成为经认证的经营者，给予相应的通关便利支持。</w:t>
      </w:r>
    </w:p>
    <w:p>
      <w:pPr>
        <w:widowControl w:val="0"/>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四十二</w:t>
      </w:r>
      <w:r>
        <w:rPr>
          <w:rFonts w:hint="eastAsia" w:ascii="黑体" w:hAnsi="黑体" w:eastAsia="黑体"/>
          <w:sz w:val="32"/>
          <w:szCs w:val="32"/>
        </w:rPr>
        <w:t xml:space="preserve">条  </w:t>
      </w:r>
      <w:r>
        <w:rPr>
          <w:rFonts w:hint="eastAsia" w:ascii="仿宋_GB2312" w:eastAsia="仿宋_GB2312"/>
          <w:sz w:val="32"/>
          <w:szCs w:val="32"/>
        </w:rPr>
        <w:t>支持外商投资企业引进外籍高层次人才。为外籍高层次人才投资创业、</w:t>
      </w:r>
      <w:r>
        <w:rPr>
          <w:rFonts w:hint="eastAsia" w:ascii="仿宋_GB2312" w:eastAsia="仿宋_GB2312"/>
          <w:sz w:val="32"/>
          <w:szCs w:val="32"/>
          <w:lang w:eastAsia="zh-CN"/>
        </w:rPr>
        <w:t>学术</w:t>
      </w:r>
      <w:r>
        <w:rPr>
          <w:rFonts w:hint="eastAsia" w:ascii="仿宋_GB2312" w:eastAsia="仿宋_GB2312"/>
          <w:sz w:val="32"/>
          <w:szCs w:val="32"/>
        </w:rPr>
        <w:t>交流、经贸活动提供出入境便利。</w:t>
      </w:r>
    </w:p>
    <w:p>
      <w:pPr>
        <w:widowControl w:val="0"/>
        <w:ind w:firstLine="640" w:firstLineChars="200"/>
        <w:jc w:val="both"/>
        <w:rPr>
          <w:rFonts w:ascii="仿宋_GB2312" w:eastAsia="仿宋_GB2312"/>
          <w:sz w:val="32"/>
          <w:szCs w:val="32"/>
        </w:rPr>
      </w:pPr>
      <w:r>
        <w:rPr>
          <w:rFonts w:hint="eastAsia" w:ascii="仿宋_GB2312" w:eastAsia="仿宋_GB2312"/>
          <w:sz w:val="32"/>
          <w:szCs w:val="32"/>
        </w:rPr>
        <w:t>优化外国人来华工作许可和工作类居留许可审批流程。为引进符合条件的外籍人才提供签证、落户、医疗、社保、税收、住房、子女入学等方面的便利服务。</w:t>
      </w:r>
    </w:p>
    <w:p>
      <w:pPr>
        <w:widowControl w:val="0"/>
        <w:ind w:firstLine="640" w:firstLineChars="200"/>
        <w:jc w:val="both"/>
        <w:rPr>
          <w:rFonts w:ascii="仿宋_GB2312" w:eastAsia="仿宋_GB2312"/>
          <w:sz w:val="32"/>
          <w:szCs w:val="32"/>
        </w:rPr>
      </w:pPr>
      <w:r>
        <w:rPr>
          <w:rFonts w:hint="eastAsia" w:ascii="黑体" w:hAnsi="黑体" w:eastAsia="黑体"/>
          <w:sz w:val="32"/>
          <w:szCs w:val="32"/>
          <w:highlight w:val="none"/>
        </w:rPr>
        <w:t>第</w:t>
      </w:r>
      <w:r>
        <w:rPr>
          <w:rFonts w:hint="eastAsia" w:ascii="黑体" w:hAnsi="黑体" w:eastAsia="黑体"/>
          <w:sz w:val="32"/>
          <w:szCs w:val="32"/>
          <w:highlight w:val="none"/>
          <w:lang w:eastAsia="zh-CN"/>
        </w:rPr>
        <w:t>四十三</w:t>
      </w:r>
      <w:r>
        <w:rPr>
          <w:rFonts w:hint="eastAsia" w:ascii="黑体" w:hAnsi="黑体" w:eastAsia="黑体"/>
          <w:sz w:val="32"/>
          <w:szCs w:val="32"/>
          <w:highlight w:val="none"/>
        </w:rPr>
        <w:t xml:space="preserve">条  </w:t>
      </w:r>
      <w:r>
        <w:rPr>
          <w:rFonts w:hint="eastAsia" w:ascii="仿宋_GB2312" w:eastAsia="仿宋_GB2312"/>
          <w:sz w:val="32"/>
          <w:szCs w:val="32"/>
        </w:rPr>
        <w:t>在不直接涉及公共安全和人民群众生命健康、风险可控的领域，探索建立国际职业资格证书认可清单制度，对部分需持证上岗的职业，允许取得境外相应职业资格或者公认的国际专业组织认证的国际人才，经能力水平认定或者相关主管等部门备案后从事执业活动。</w:t>
      </w:r>
    </w:p>
    <w:p>
      <w:pPr>
        <w:widowControl w:val="0"/>
        <w:ind w:firstLine="0" w:firstLineChars="0"/>
        <w:jc w:val="both"/>
        <w:rPr>
          <w:rFonts w:ascii="楷体" w:hAnsi="楷体" w:eastAsia="楷体" w:cs="楷体"/>
          <w:strike/>
          <w:sz w:val="24"/>
        </w:rPr>
      </w:pPr>
    </w:p>
    <w:p>
      <w:pPr>
        <w:widowControl w:val="0"/>
        <w:ind w:firstLine="0" w:firstLineChars="0"/>
        <w:jc w:val="center"/>
        <w:rPr>
          <w:rFonts w:ascii="黑体" w:hAnsi="黑体" w:eastAsia="黑体"/>
          <w:bCs/>
          <w:color w:val="000000"/>
          <w:sz w:val="32"/>
          <w:szCs w:val="32"/>
        </w:rPr>
      </w:pPr>
      <w:r>
        <w:rPr>
          <w:rFonts w:hint="eastAsia" w:ascii="黑体" w:hAnsi="黑体" w:eastAsia="黑体"/>
          <w:bCs/>
          <w:color w:val="000000"/>
          <w:sz w:val="32"/>
          <w:szCs w:val="32"/>
        </w:rPr>
        <w:t>第六章  附则</w:t>
      </w:r>
    </w:p>
    <w:p>
      <w:pPr>
        <w:widowControl w:val="0"/>
        <w:ind w:firstLine="640" w:firstLineChars="200"/>
        <w:jc w:val="both"/>
        <w:rPr>
          <w:rFonts w:ascii="黑体" w:hAnsi="黑体" w:eastAsia="黑体"/>
          <w:sz w:val="32"/>
          <w:szCs w:val="32"/>
        </w:rPr>
      </w:pPr>
    </w:p>
    <w:p>
      <w:pPr>
        <w:widowControl w:val="0"/>
        <w:ind w:firstLine="640" w:firstLineChars="200"/>
        <w:jc w:val="both"/>
        <w:rPr>
          <w:rFonts w:ascii="仿宋_GB2312" w:hAnsi="宋体" w:eastAsia="仿宋_GB2312"/>
          <w:bCs/>
          <w:sz w:val="32"/>
          <w:szCs w:val="32"/>
        </w:rPr>
      </w:pPr>
      <w:r>
        <w:rPr>
          <w:rFonts w:hint="eastAsia" w:ascii="黑体" w:hAnsi="黑体" w:eastAsia="黑体"/>
          <w:sz w:val="32"/>
          <w:szCs w:val="32"/>
        </w:rPr>
        <w:t>第</w:t>
      </w:r>
      <w:r>
        <w:rPr>
          <w:rFonts w:hint="eastAsia" w:ascii="黑体" w:hAnsi="黑体" w:eastAsia="黑体"/>
          <w:sz w:val="32"/>
          <w:szCs w:val="32"/>
          <w:lang w:eastAsia="zh-CN"/>
        </w:rPr>
        <w:t>四十四</w:t>
      </w:r>
      <w:r>
        <w:rPr>
          <w:rFonts w:hint="eastAsia" w:ascii="黑体" w:hAnsi="黑体" w:eastAsia="黑体"/>
          <w:sz w:val="32"/>
          <w:szCs w:val="32"/>
        </w:rPr>
        <w:t xml:space="preserve">条  </w:t>
      </w:r>
      <w:r>
        <w:rPr>
          <w:rFonts w:hint="eastAsia" w:ascii="仿宋_GB2312" w:hAnsi="宋体" w:eastAsia="仿宋_GB2312"/>
          <w:bCs/>
          <w:sz w:val="32"/>
          <w:szCs w:val="32"/>
        </w:rPr>
        <w:t>香港特别行政区、澳门特别行政区以及定居在国外的中国公民在特区内投资，参照本条例执行。</w:t>
      </w:r>
    </w:p>
    <w:p>
      <w:pPr>
        <w:pStyle w:val="7"/>
        <w:widowControl w:val="0"/>
        <w:spacing w:after="0"/>
        <w:ind w:firstLine="640" w:firstLineChars="200"/>
        <w:jc w:val="both"/>
        <w:rPr>
          <w:rFonts w:ascii="仿宋_GB2312" w:hAnsi="宋体" w:eastAsia="仿宋_GB2312"/>
          <w:bCs/>
          <w:sz w:val="32"/>
          <w:szCs w:val="32"/>
        </w:rPr>
      </w:pPr>
      <w:r>
        <w:rPr>
          <w:rFonts w:hint="eastAsia" w:ascii="仿宋_GB2312" w:hAnsi="宋体" w:eastAsia="仿宋_GB2312"/>
          <w:bCs/>
          <w:sz w:val="32"/>
          <w:szCs w:val="32"/>
        </w:rPr>
        <w:t>台湾地区投资者在特区内投资，适用国家有关台湾同胞投资保护的法律、行政法规的规定；国家有关台湾同胞投资保护的法律、行政法规未规定的事项，参照本条例执行。</w:t>
      </w:r>
    </w:p>
    <w:p>
      <w:pPr>
        <w:pStyle w:val="7"/>
        <w:widowControl w:val="0"/>
        <w:spacing w:after="0"/>
        <w:ind w:firstLine="640" w:firstLineChars="200"/>
        <w:jc w:val="both"/>
        <w:rPr>
          <w:rFonts w:ascii="仿宋_GB2312" w:hAnsi="宋体" w:eastAsia="仿宋_GB2312"/>
          <w:bCs/>
          <w:sz w:val="32"/>
          <w:szCs w:val="32"/>
        </w:rPr>
      </w:pPr>
      <w:r>
        <w:rPr>
          <w:rFonts w:hint="eastAsia" w:ascii="黑体" w:hAnsi="黑体" w:eastAsia="黑体"/>
          <w:sz w:val="32"/>
          <w:szCs w:val="32"/>
        </w:rPr>
        <w:t>第</w:t>
      </w:r>
      <w:r>
        <w:rPr>
          <w:rFonts w:hint="eastAsia" w:ascii="黑体" w:hAnsi="黑体" w:eastAsia="黑体"/>
          <w:sz w:val="32"/>
          <w:szCs w:val="32"/>
          <w:lang w:eastAsia="zh-CN"/>
        </w:rPr>
        <w:t>四十五</w:t>
      </w:r>
      <w:r>
        <w:rPr>
          <w:rFonts w:hint="eastAsia" w:ascii="黑体" w:hAnsi="黑体" w:eastAsia="黑体"/>
          <w:sz w:val="32"/>
          <w:szCs w:val="32"/>
        </w:rPr>
        <w:t xml:space="preserve">条  </w:t>
      </w:r>
      <w:r>
        <w:rPr>
          <w:rFonts w:hint="eastAsia" w:ascii="仿宋_GB2312" w:hAnsi="宋体" w:eastAsia="仿宋_GB2312"/>
          <w:bCs/>
          <w:sz w:val="32"/>
          <w:szCs w:val="32"/>
        </w:rPr>
        <w:t>国家或者广东省对外国投资者和外商投资企业的营商活动有更加便利或者优惠规定的，适用其规定。</w:t>
      </w:r>
    </w:p>
    <w:p>
      <w:pPr>
        <w:widowControl w:val="0"/>
        <w:ind w:firstLine="640" w:firstLineChars="200"/>
        <w:jc w:val="both"/>
        <w:rPr>
          <w:rFonts w:ascii="仿宋_GB2312" w:hAnsi="宋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四十六</w:t>
      </w:r>
      <w:r>
        <w:rPr>
          <w:rFonts w:hint="eastAsia" w:ascii="黑体" w:hAnsi="黑体" w:eastAsia="黑体"/>
          <w:sz w:val="32"/>
          <w:szCs w:val="32"/>
        </w:rPr>
        <w:t xml:space="preserve">条  </w:t>
      </w:r>
      <w:r>
        <w:rPr>
          <w:rFonts w:hint="eastAsia" w:ascii="仿宋_GB2312" w:hAnsi="仿宋" w:eastAsia="仿宋_GB2312"/>
          <w:bCs/>
          <w:sz w:val="32"/>
          <w:szCs w:val="32"/>
        </w:rPr>
        <w:t>本条例自</w:t>
      </w:r>
      <w:r>
        <w:rPr>
          <w:rFonts w:hint="eastAsia" w:ascii="仿宋_GB2312" w:hAnsi="仿宋" w:eastAsia="仿宋_GB2312"/>
          <w:bCs/>
          <w:sz w:val="32"/>
          <w:szCs w:val="32"/>
          <w:lang w:val="en-US" w:eastAsia="zh-CN"/>
        </w:rPr>
        <w:t>2022</w:t>
      </w:r>
      <w:r>
        <w:rPr>
          <w:rFonts w:hint="eastAsia" w:ascii="仿宋_GB2312" w:hAnsi="仿宋" w:eastAsia="仿宋_GB2312"/>
          <w:bCs/>
          <w:sz w:val="32"/>
          <w:szCs w:val="32"/>
        </w:rPr>
        <w:t>年</w:t>
      </w:r>
      <w:r>
        <w:rPr>
          <w:rFonts w:hint="eastAsia" w:ascii="仿宋_GB2312" w:hAnsi="仿宋" w:eastAsia="仿宋_GB2312"/>
          <w:bCs/>
          <w:sz w:val="32"/>
          <w:szCs w:val="32"/>
          <w:lang w:val="en-US" w:eastAsia="zh-CN"/>
        </w:rPr>
        <w:t>11</w:t>
      </w:r>
      <w:r>
        <w:rPr>
          <w:rFonts w:hint="eastAsia" w:ascii="仿宋_GB2312" w:hAnsi="仿宋" w:eastAsia="仿宋_GB2312"/>
          <w:bCs/>
          <w:sz w:val="32"/>
          <w:szCs w:val="32"/>
        </w:rPr>
        <w:t>月</w:t>
      </w:r>
      <w:r>
        <w:rPr>
          <w:rFonts w:hint="eastAsia" w:ascii="仿宋_GB2312" w:hAnsi="仿宋" w:eastAsia="仿宋_GB2312"/>
          <w:bCs/>
          <w:sz w:val="32"/>
          <w:szCs w:val="32"/>
          <w:lang w:val="en-US" w:eastAsia="zh-CN"/>
        </w:rPr>
        <w:t>1</w:t>
      </w:r>
      <w:r>
        <w:rPr>
          <w:rFonts w:hint="eastAsia" w:ascii="仿宋_GB2312" w:hAnsi="仿宋" w:eastAsia="仿宋_GB2312"/>
          <w:bCs/>
          <w:sz w:val="32"/>
          <w:szCs w:val="32"/>
        </w:rPr>
        <w:t>日起实施。</w:t>
      </w:r>
    </w:p>
    <w:p>
      <w:pPr>
        <w:ind w:firstLine="412"/>
        <w:jc w:val="both"/>
        <w:rPr>
          <w:rFonts w:eastAsia="仿宋"/>
        </w:rPr>
      </w:pPr>
    </w:p>
    <w:p/>
    <w:p/>
    <w:p>
      <w:bookmarkStart w:id="0" w:name="_GoBack"/>
      <w:bookmarkEnd w:id="0"/>
    </w:p>
    <w:sectPr>
      <w:headerReference r:id="rId5" w:type="default"/>
      <w:footerReference r:id="rId6" w:type="default"/>
      <w:pgSz w:w="11906" w:h="16838"/>
      <w:pgMar w:top="1814" w:right="1701" w:bottom="1814" w:left="1701" w:header="851" w:footer="1134"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11"/>
      </w:pPr>
      <w:r>
        <w:separator/>
      </w:r>
    </w:p>
  </w:endnote>
  <w:endnote w:type="continuationSeparator" w:id="1">
    <w:p>
      <w:pPr>
        <w:spacing w:line="240" w:lineRule="auto"/>
        <w:ind w:firstLine="41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5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ind w:firstLine="0" w:firstLineChars="0"/>
                          </w:pPr>
                          <w:r>
                            <w:rPr>
                              <w:rFonts w:hint="eastAsia"/>
                            </w:rPr>
                            <w:fldChar w:fldCharType="begin"/>
                          </w:r>
                          <w:r>
                            <w:rPr>
                              <w:rFonts w:hint="eastAsia"/>
                            </w:rPr>
                            <w:instrText xml:space="preserve"> PAGE  \* MERGEFORMAT </w:instrText>
                          </w:r>
                          <w:r>
                            <w:rPr>
                              <w:rFonts w:hint="eastAsia"/>
                            </w:rPr>
                            <w:fldChar w:fldCharType="separate"/>
                          </w:r>
                          <w: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pPr>
                      <w:pStyle w:val="4"/>
                      <w:ind w:firstLine="0" w:firstLineChars="0"/>
                    </w:pPr>
                    <w:r>
                      <w:rPr>
                        <w:rFonts w:hint="eastAsia"/>
                      </w:rPr>
                      <w:fldChar w:fldCharType="begin"/>
                    </w:r>
                    <w:r>
                      <w:rPr>
                        <w:rFonts w:hint="eastAsia"/>
                      </w:rPr>
                      <w:instrText xml:space="preserve"> PAGE  \* MERGEFORMAT </w:instrText>
                    </w:r>
                    <w:r>
                      <w:rPr>
                        <w:rFonts w:hint="eastAsia"/>
                      </w:rPr>
                      <w:fldChar w:fldCharType="separate"/>
                    </w:r>
                    <w:r>
                      <w:t>10</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11"/>
      </w:pPr>
      <w:r>
        <w:separator/>
      </w:r>
    </w:p>
  </w:footnote>
  <w:footnote w:type="continuationSeparator" w:id="1">
    <w:p>
      <w:pPr>
        <w:spacing w:line="240" w:lineRule="auto"/>
        <w:ind w:firstLine="41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627"/>
      <w:jc w:val="right"/>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07E94"/>
    <w:rsid w:val="1A30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560" w:lineRule="exact"/>
      <w:ind w:firstLine="196" w:firstLineChars="196"/>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pPr>
  </w:style>
  <w:style w:type="paragraph" w:styleId="3">
    <w:name w:val="Title"/>
    <w:basedOn w:val="1"/>
    <w:next w:val="1"/>
    <w:qFormat/>
    <w:uiPriority w:val="0"/>
    <w:pPr>
      <w:spacing w:before="240" w:after="60"/>
      <w:jc w:val="center"/>
      <w:outlineLvl w:val="0"/>
    </w:pPr>
    <w:rPr>
      <w:rFonts w:ascii="Cambria" w:hAnsi="Cambria" w:eastAsia="Times New Roman"/>
      <w:b/>
      <w:bCs/>
      <w:szCs w:val="32"/>
    </w:rPr>
  </w:style>
  <w:style w:type="paragraph" w:styleId="4">
    <w:name w:val="footer"/>
    <w:basedOn w:val="1"/>
    <w:qFormat/>
    <w:uiPriority w:val="0"/>
    <w:pPr>
      <w:tabs>
        <w:tab w:val="center" w:pos="4153"/>
        <w:tab w:val="right" w:pos="8306"/>
      </w:tabs>
      <w:snapToGrid w:val="0"/>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7">
    <w:name w:val="Body Text First Indent"/>
    <w:basedOn w:val="2"/>
    <w:qFormat/>
    <w:uiPriority w:val="0"/>
    <w:pPr>
      <w:ind w:firstLine="420" w:firstLineChars="1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2022-09-16T07:45:00Z</dcterms:created>
  <dc:creator>卢倚玲</dc:creator>
  <cp:lastModifiedBy>卢倚玲</cp:lastModifiedBy>
  <dcterms:modified xsi:type="dcterms:W3CDTF">2022-09-16T07:45:34Z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5B69533210A94451AF89808B940B3580</vt:lpwstr>
  </property>
</Properties>
</file>