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widowControl/>
        <w:spacing w:beforeAutospacing="0" w:afterAutospacing="0" w:line="560" w:lineRule="exact"/>
        <w:jc w:val="center"/>
        <w:rPr>
          <w:rFonts w:asciiTheme="majorEastAsia" w:hAnsiTheme="majorEastAsia" w:eastAsiaTheme="majorEastAsia" w:cstheme="majorEastAsia"/>
          <w:b/>
          <w:bCs/>
          <w:sz w:val="44"/>
          <w:szCs w:val="44"/>
          <w:highlight w:val="none"/>
          <w:shd w:val="clear" w:color="auto" w:fill="FFFFFF"/>
        </w:rPr>
      </w:pPr>
    </w:p>
    <w:p>
      <w:pPr>
        <w:pStyle w:val="7"/>
        <w:widowControl/>
        <w:spacing w:beforeAutospacing="0" w:afterAutospacing="0" w:line="560" w:lineRule="exact"/>
        <w:jc w:val="center"/>
        <w:rPr>
          <w:rFonts w:asciiTheme="majorEastAsia" w:hAnsiTheme="majorEastAsia" w:eastAsiaTheme="majorEastAsia" w:cstheme="majorEastAsia"/>
          <w:b/>
          <w:bCs/>
          <w:sz w:val="44"/>
          <w:szCs w:val="44"/>
          <w:highlight w:val="none"/>
          <w:shd w:val="clear" w:color="auto" w:fill="FFFFFF"/>
        </w:rPr>
      </w:pPr>
    </w:p>
    <w:p>
      <w:pPr>
        <w:pStyle w:val="7"/>
        <w:widowControl/>
        <w:spacing w:beforeAutospacing="0" w:afterAutospacing="0" w:line="560" w:lineRule="exact"/>
        <w:jc w:val="center"/>
        <w:rPr>
          <w:rFonts w:asciiTheme="majorEastAsia" w:hAnsiTheme="majorEastAsia" w:eastAsiaTheme="majorEastAsia" w:cstheme="majorEastAsia"/>
          <w:b/>
          <w:bCs/>
          <w:sz w:val="44"/>
          <w:szCs w:val="44"/>
          <w:highlight w:val="none"/>
          <w:shd w:val="clear" w:color="auto" w:fill="FFFFFF"/>
        </w:rPr>
      </w:pPr>
      <w:r>
        <w:rPr>
          <w:rFonts w:hint="eastAsia" w:asciiTheme="majorEastAsia" w:hAnsiTheme="majorEastAsia" w:eastAsiaTheme="majorEastAsia" w:cstheme="majorEastAsia"/>
          <w:b/>
          <w:bCs/>
          <w:sz w:val="44"/>
          <w:szCs w:val="44"/>
          <w:highlight w:val="none"/>
          <w:shd w:val="clear" w:color="auto" w:fill="FFFFFF"/>
        </w:rPr>
        <w:t>深圳经济特区奖励和保护见义勇为人员条例</w:t>
      </w:r>
    </w:p>
    <w:p>
      <w:pPr>
        <w:pStyle w:val="7"/>
        <w:widowControl/>
        <w:spacing w:beforeAutospacing="0" w:afterAutospacing="0" w:line="560" w:lineRule="exact"/>
        <w:ind w:firstLine="420"/>
        <w:jc w:val="center"/>
        <w:rPr>
          <w:rFonts w:ascii="楷体_GB2312" w:hAnsi="楷体_GB2312" w:eastAsia="楷体_GB2312" w:cs="楷体_GB2312"/>
          <w:sz w:val="32"/>
          <w:szCs w:val="32"/>
          <w:highlight w:val="none"/>
          <w:shd w:val="clear" w:color="auto" w:fill="FFFFFF"/>
        </w:rPr>
      </w:pPr>
    </w:p>
    <w:p>
      <w:pPr>
        <w:pStyle w:val="7"/>
        <w:widowControl/>
        <w:spacing w:line="560" w:lineRule="exact"/>
        <w:ind w:left="420" w:leftChars="200" w:right="332" w:rightChars="158" w:firstLine="0" w:firstLineChars="0"/>
        <w:jc w:val="both"/>
        <w:rPr>
          <w:rFonts w:ascii="仿宋_GB2312" w:hAnsi="仿宋_GB2312" w:eastAsia="仿宋_GB2312" w:cs="仿宋_GB2312"/>
          <w:color w:val="000000"/>
          <w:sz w:val="32"/>
          <w:szCs w:val="32"/>
          <w:highlight w:val="none"/>
        </w:rPr>
      </w:pPr>
      <w:r>
        <w:rPr>
          <w:rFonts w:hint="eastAsia" w:ascii="楷体_GB2312" w:hAnsi="楷体_GB2312" w:eastAsia="楷体_GB2312" w:cs="楷体_GB2312"/>
          <w:sz w:val="32"/>
          <w:szCs w:val="32"/>
          <w:highlight w:val="none"/>
          <w:shd w:val="clear" w:color="auto" w:fill="FFFFFF"/>
        </w:rPr>
        <w:t xml:space="preserve">（1997年2月26日深圳市第二届人民代表大会常务委员会第十三次会议通过 </w:t>
      </w:r>
      <w:r>
        <w:rPr>
          <w:rFonts w:ascii="楷体_GB2312" w:hAnsi="楷体_GB2312" w:eastAsia="楷体_GB2312" w:cs="楷体_GB2312"/>
          <w:sz w:val="32"/>
          <w:szCs w:val="32"/>
          <w:highlight w:val="none"/>
          <w:shd w:val="clear" w:color="auto" w:fill="FFFFFF"/>
        </w:rPr>
        <w:t xml:space="preserve"> </w:t>
      </w:r>
      <w:r>
        <w:rPr>
          <w:rFonts w:hint="eastAsia" w:ascii="楷体_GB2312" w:hAnsi="楷体_GB2312" w:eastAsia="楷体_GB2312" w:cs="楷体_GB2312"/>
          <w:sz w:val="32"/>
          <w:szCs w:val="32"/>
          <w:highlight w:val="none"/>
          <w:shd w:val="clear" w:color="auto" w:fill="FFFFFF"/>
        </w:rPr>
        <w:t>根据2019年10月31日深圳市第六届人民代表大会常务委员会第三十六次会议《关于修改〈深圳经济特区人体器官捐献移植条例〉等四十五项法规的决定》修正）</w:t>
      </w:r>
    </w:p>
    <w:p>
      <w:pPr>
        <w:pStyle w:val="7"/>
        <w:adjustRightInd w:val="0"/>
        <w:spacing w:line="580" w:lineRule="atLeast"/>
        <w:jc w:val="center"/>
        <w:rPr>
          <w:rFonts w:hint="eastAsia" w:ascii="楷体_GB2312" w:hAnsi="楷体_GB2312" w:eastAsia="楷体_GB2312" w:cs="楷体_GB2312"/>
          <w:color w:val="000000"/>
          <w:sz w:val="32"/>
          <w:szCs w:val="32"/>
          <w:highlight w:val="none"/>
        </w:rPr>
      </w:pPr>
      <w:r>
        <w:rPr>
          <w:rFonts w:hint="eastAsia" w:ascii="楷体_GB2312" w:hAnsi="楷体_GB2312" w:eastAsia="楷体_GB2312" w:cs="楷体_GB2312"/>
          <w:color w:val="000000"/>
          <w:sz w:val="32"/>
          <w:szCs w:val="32"/>
          <w:highlight w:val="none"/>
        </w:rPr>
        <w:t>目</w:t>
      </w:r>
      <w:r>
        <w:rPr>
          <w:rFonts w:hint="eastAsia" w:ascii="楷体_GB2312" w:hAnsi="楷体_GB2312" w:eastAsia="楷体_GB2312" w:cs="楷体_GB2312"/>
          <w:bCs/>
          <w:color w:val="000000"/>
          <w:sz w:val="32"/>
          <w:szCs w:val="32"/>
          <w:highlight w:val="none"/>
        </w:rPr>
        <w:t xml:space="preserve">    </w:t>
      </w:r>
      <w:r>
        <w:rPr>
          <w:rFonts w:hint="eastAsia" w:ascii="楷体_GB2312" w:hAnsi="楷体_GB2312" w:eastAsia="楷体_GB2312" w:cs="楷体_GB2312"/>
          <w:color w:val="000000"/>
          <w:sz w:val="32"/>
          <w:szCs w:val="32"/>
          <w:highlight w:val="none"/>
        </w:rPr>
        <w:t>录</w:t>
      </w:r>
    </w:p>
    <w:p>
      <w:pPr>
        <w:pStyle w:val="7"/>
        <w:widowControl/>
        <w:numPr>
          <w:numId w:val="0"/>
        </w:numPr>
        <w:tabs>
          <w:tab w:val="left" w:pos="7538"/>
        </w:tabs>
        <w:adjustRightInd w:val="0"/>
        <w:spacing w:beforeAutospacing="0" w:afterAutospacing="0" w:line="580" w:lineRule="atLeast"/>
        <w:ind w:leftChars="-131"/>
        <w:rPr>
          <w:rFonts w:hint="eastAsia" w:ascii="楷体_GB2312" w:hAnsi="楷体_GB2312" w:eastAsia="楷体_GB2312" w:cs="楷体_GB2312"/>
          <w:bCs/>
          <w:color w:val="000000"/>
          <w:sz w:val="32"/>
          <w:szCs w:val="32"/>
          <w:highlight w:val="none"/>
        </w:rPr>
      </w:pPr>
      <w:r>
        <w:rPr>
          <w:rFonts w:hint="eastAsia" w:ascii="楷体_GB2312" w:hAnsi="楷体_GB2312" w:eastAsia="楷体_GB2312" w:cs="楷体_GB2312"/>
          <w:bCs/>
          <w:color w:val="000000"/>
          <w:sz w:val="32"/>
          <w:szCs w:val="32"/>
          <w:highlight w:val="none"/>
        </w:rPr>
        <w:t xml:space="preserve"> </w:t>
      </w:r>
      <w:r>
        <w:rPr>
          <w:rFonts w:hint="default" w:ascii="楷体_GB2312" w:hAnsi="楷体_GB2312" w:eastAsia="楷体_GB2312" w:cs="楷体_GB2312"/>
          <w:bCs/>
          <w:color w:val="000000"/>
          <w:sz w:val="32"/>
          <w:szCs w:val="32"/>
          <w:highlight w:val="none"/>
          <w:lang w:val="en-US"/>
        </w:rPr>
        <w:t xml:space="preserve">   </w:t>
      </w:r>
      <w:r>
        <w:rPr>
          <w:rFonts w:hint="eastAsia" w:ascii="楷体_GB2312" w:hAnsi="楷体_GB2312" w:eastAsia="楷体_GB2312" w:cs="楷体_GB2312"/>
          <w:bCs/>
          <w:color w:val="000000"/>
          <w:sz w:val="32"/>
          <w:szCs w:val="32"/>
          <w:highlight w:val="none"/>
          <w:lang w:val="en-US" w:eastAsia="zh-CN"/>
        </w:rPr>
        <w:t xml:space="preserve">第一章  </w:t>
      </w:r>
      <w:r>
        <w:rPr>
          <w:rFonts w:hint="eastAsia" w:ascii="楷体_GB2312" w:hAnsi="楷体_GB2312" w:eastAsia="楷体_GB2312" w:cs="楷体_GB2312"/>
          <w:bCs/>
          <w:color w:val="000000"/>
          <w:sz w:val="32"/>
          <w:szCs w:val="32"/>
          <w:highlight w:val="none"/>
        </w:rPr>
        <w:t>总则</w:t>
      </w:r>
      <w:r>
        <w:rPr>
          <w:rFonts w:hint="eastAsia" w:ascii="楷体_GB2312" w:hAnsi="楷体_GB2312" w:eastAsia="楷体_GB2312" w:cs="楷体_GB2312"/>
          <w:bCs/>
          <w:color w:val="000000"/>
          <w:sz w:val="32"/>
          <w:szCs w:val="32"/>
          <w:highlight w:val="none"/>
          <w:lang w:eastAsia="zh-CN"/>
        </w:rPr>
        <w:tab/>
      </w:r>
    </w:p>
    <w:p>
      <w:pPr>
        <w:pStyle w:val="13"/>
        <w:numPr>
          <w:numId w:val="0"/>
        </w:numPr>
        <w:rPr>
          <w:rFonts w:hint="eastAsia" w:ascii="楷体_GB2312" w:hAnsi="楷体_GB2312" w:eastAsia="楷体_GB2312" w:cs="楷体_GB2312"/>
          <w:bCs/>
          <w:color w:val="000000"/>
          <w:kern w:val="0"/>
          <w:sz w:val="32"/>
          <w:szCs w:val="32"/>
          <w:highlight w:val="none"/>
        </w:rPr>
      </w:pPr>
      <w:r>
        <w:rPr>
          <w:rFonts w:hint="eastAsia" w:ascii="楷体_GB2312" w:hAnsi="楷体_GB2312" w:eastAsia="楷体_GB2312" w:cs="楷体_GB2312"/>
          <w:bCs/>
          <w:color w:val="000000"/>
          <w:sz w:val="32"/>
          <w:szCs w:val="32"/>
          <w:highlight w:val="none"/>
        </w:rPr>
        <w:t xml:space="preserve"> </w:t>
      </w:r>
      <w:r>
        <w:rPr>
          <w:rFonts w:hint="default" w:ascii="楷体_GB2312" w:hAnsi="楷体_GB2312" w:eastAsia="楷体_GB2312" w:cs="楷体_GB2312"/>
          <w:bCs/>
          <w:color w:val="000000"/>
          <w:sz w:val="32"/>
          <w:szCs w:val="32"/>
          <w:highlight w:val="none"/>
          <w:lang w:val="en-US"/>
        </w:rPr>
        <w:t xml:space="preserve"> </w:t>
      </w:r>
      <w:r>
        <w:rPr>
          <w:rFonts w:hint="eastAsia" w:ascii="楷体_GB2312" w:hAnsi="楷体_GB2312" w:eastAsia="楷体_GB2312" w:cs="楷体_GB2312"/>
          <w:bCs/>
          <w:color w:val="000000"/>
          <w:sz w:val="32"/>
          <w:szCs w:val="32"/>
          <w:highlight w:val="none"/>
          <w:lang w:val="en-US" w:eastAsia="zh-CN"/>
        </w:rPr>
        <w:t xml:space="preserve">第二章  </w:t>
      </w:r>
      <w:r>
        <w:rPr>
          <w:rFonts w:hint="eastAsia" w:ascii="楷体_GB2312" w:hAnsi="楷体_GB2312" w:eastAsia="楷体_GB2312" w:cs="楷体_GB2312"/>
          <w:bCs/>
          <w:color w:val="000000"/>
          <w:kern w:val="0"/>
          <w:sz w:val="32"/>
          <w:szCs w:val="32"/>
          <w:highlight w:val="none"/>
        </w:rPr>
        <w:t>见义勇为行为的确认</w:t>
      </w:r>
    </w:p>
    <w:p>
      <w:pPr>
        <w:pStyle w:val="7"/>
        <w:widowControl/>
        <w:numPr>
          <w:numId w:val="0"/>
        </w:numPr>
        <w:adjustRightInd w:val="0"/>
        <w:spacing w:beforeAutospacing="0" w:afterAutospacing="0" w:line="580" w:lineRule="atLeast"/>
        <w:ind w:leftChars="-131"/>
        <w:rPr>
          <w:rFonts w:hint="eastAsia" w:ascii="楷体_GB2312" w:hAnsi="楷体_GB2312" w:eastAsia="楷体_GB2312" w:cs="楷体_GB2312"/>
          <w:bCs/>
          <w:color w:val="000000"/>
          <w:sz w:val="32"/>
          <w:szCs w:val="32"/>
          <w:highlight w:val="none"/>
        </w:rPr>
      </w:pPr>
      <w:r>
        <w:rPr>
          <w:rFonts w:hint="eastAsia" w:ascii="楷体_GB2312" w:hAnsi="楷体_GB2312" w:eastAsia="楷体_GB2312" w:cs="楷体_GB2312"/>
          <w:bCs/>
          <w:color w:val="000000"/>
          <w:sz w:val="32"/>
          <w:szCs w:val="32"/>
          <w:highlight w:val="none"/>
        </w:rPr>
        <w:t xml:space="preserve"> </w:t>
      </w:r>
      <w:r>
        <w:rPr>
          <w:rFonts w:hint="default" w:ascii="楷体_GB2312" w:hAnsi="楷体_GB2312" w:eastAsia="楷体_GB2312" w:cs="楷体_GB2312"/>
          <w:bCs/>
          <w:color w:val="000000"/>
          <w:sz w:val="32"/>
          <w:szCs w:val="32"/>
          <w:highlight w:val="none"/>
          <w:lang w:val="en-US"/>
        </w:rPr>
        <w:t xml:space="preserve">   </w:t>
      </w:r>
      <w:r>
        <w:rPr>
          <w:rFonts w:hint="eastAsia" w:ascii="楷体_GB2312" w:hAnsi="楷体_GB2312" w:eastAsia="楷体_GB2312" w:cs="楷体_GB2312"/>
          <w:bCs/>
          <w:color w:val="000000"/>
          <w:sz w:val="32"/>
          <w:szCs w:val="32"/>
          <w:highlight w:val="none"/>
          <w:lang w:val="en-US" w:eastAsia="zh-CN"/>
        </w:rPr>
        <w:t xml:space="preserve">第三章  </w:t>
      </w:r>
      <w:r>
        <w:rPr>
          <w:rFonts w:hint="eastAsia" w:ascii="楷体_GB2312" w:hAnsi="楷体_GB2312" w:eastAsia="楷体_GB2312" w:cs="楷体_GB2312"/>
          <w:bCs/>
          <w:color w:val="000000"/>
          <w:sz w:val="32"/>
          <w:szCs w:val="32"/>
          <w:highlight w:val="none"/>
        </w:rPr>
        <w:t>奖励</w:t>
      </w:r>
    </w:p>
    <w:p>
      <w:pPr>
        <w:pStyle w:val="7"/>
        <w:widowControl/>
        <w:numPr>
          <w:numId w:val="0"/>
        </w:numPr>
        <w:adjustRightInd w:val="0"/>
        <w:spacing w:beforeAutospacing="0" w:afterAutospacing="0" w:line="580" w:lineRule="atLeast"/>
        <w:ind w:leftChars="-131"/>
        <w:rPr>
          <w:rFonts w:hint="eastAsia" w:ascii="楷体_GB2312" w:hAnsi="楷体_GB2312" w:eastAsia="楷体_GB2312" w:cs="楷体_GB2312"/>
          <w:bCs/>
          <w:color w:val="000000"/>
          <w:sz w:val="32"/>
          <w:szCs w:val="32"/>
          <w:highlight w:val="none"/>
        </w:rPr>
      </w:pPr>
      <w:r>
        <w:rPr>
          <w:rFonts w:hint="eastAsia" w:ascii="楷体_GB2312" w:hAnsi="楷体_GB2312" w:eastAsia="楷体_GB2312" w:cs="楷体_GB2312"/>
          <w:bCs/>
          <w:color w:val="000000"/>
          <w:sz w:val="32"/>
          <w:szCs w:val="32"/>
          <w:highlight w:val="none"/>
        </w:rPr>
        <w:t xml:space="preserve"> </w:t>
      </w:r>
      <w:r>
        <w:rPr>
          <w:rFonts w:hint="default" w:ascii="楷体_GB2312" w:hAnsi="楷体_GB2312" w:eastAsia="楷体_GB2312" w:cs="楷体_GB2312"/>
          <w:bCs/>
          <w:color w:val="000000"/>
          <w:sz w:val="32"/>
          <w:szCs w:val="32"/>
          <w:highlight w:val="none"/>
          <w:lang w:val="en-US"/>
        </w:rPr>
        <w:t xml:space="preserve">   </w:t>
      </w:r>
      <w:r>
        <w:rPr>
          <w:rFonts w:hint="eastAsia" w:ascii="楷体_GB2312" w:hAnsi="楷体_GB2312" w:eastAsia="楷体_GB2312" w:cs="楷体_GB2312"/>
          <w:bCs/>
          <w:color w:val="000000"/>
          <w:sz w:val="32"/>
          <w:szCs w:val="32"/>
          <w:highlight w:val="none"/>
          <w:lang w:val="en-US" w:eastAsia="zh-CN"/>
        </w:rPr>
        <w:t xml:space="preserve">第四章  </w:t>
      </w:r>
      <w:r>
        <w:rPr>
          <w:rFonts w:hint="eastAsia" w:ascii="楷体_GB2312" w:hAnsi="楷体_GB2312" w:eastAsia="楷体_GB2312" w:cs="楷体_GB2312"/>
          <w:bCs/>
          <w:color w:val="000000"/>
          <w:sz w:val="32"/>
          <w:szCs w:val="32"/>
          <w:highlight w:val="none"/>
        </w:rPr>
        <w:t>保护</w:t>
      </w:r>
    </w:p>
    <w:p>
      <w:pPr>
        <w:pStyle w:val="13"/>
        <w:numPr>
          <w:numId w:val="0"/>
        </w:numPr>
        <w:ind w:firstLine="160" w:firstLineChars="50"/>
        <w:rPr>
          <w:rFonts w:hint="eastAsia" w:ascii="楷体_GB2312" w:hAnsi="楷体_GB2312" w:eastAsia="楷体_GB2312" w:cs="楷体_GB2312"/>
          <w:bCs/>
          <w:color w:val="000000"/>
          <w:kern w:val="0"/>
          <w:sz w:val="32"/>
          <w:szCs w:val="32"/>
          <w:highlight w:val="none"/>
        </w:rPr>
      </w:pPr>
      <w:r>
        <w:rPr>
          <w:rFonts w:hint="eastAsia" w:ascii="楷体_GB2312" w:hAnsi="楷体_GB2312" w:eastAsia="楷体_GB2312" w:cs="楷体_GB2312"/>
          <w:bCs/>
          <w:color w:val="000000"/>
          <w:sz w:val="32"/>
          <w:szCs w:val="32"/>
          <w:highlight w:val="none"/>
        </w:rPr>
        <w:t xml:space="preserve"> </w:t>
      </w:r>
      <w:r>
        <w:rPr>
          <w:rFonts w:hint="eastAsia" w:ascii="楷体_GB2312" w:hAnsi="楷体_GB2312" w:eastAsia="楷体_GB2312" w:cs="楷体_GB2312"/>
          <w:bCs/>
          <w:color w:val="000000"/>
          <w:sz w:val="32"/>
          <w:szCs w:val="32"/>
          <w:highlight w:val="none"/>
          <w:lang w:eastAsia="zh-CN"/>
        </w:rPr>
        <w:t>第五章</w:t>
      </w:r>
      <w:r>
        <w:rPr>
          <w:rFonts w:hint="eastAsia" w:ascii="楷体_GB2312" w:hAnsi="楷体_GB2312" w:eastAsia="楷体_GB2312" w:cs="楷体_GB2312"/>
          <w:bCs/>
          <w:color w:val="000000"/>
          <w:sz w:val="32"/>
          <w:szCs w:val="32"/>
          <w:highlight w:val="none"/>
          <w:lang w:val="en-US" w:eastAsia="zh-CN"/>
        </w:rPr>
        <w:t xml:space="preserve">  </w:t>
      </w:r>
      <w:r>
        <w:rPr>
          <w:rFonts w:hint="eastAsia" w:ascii="楷体_GB2312" w:hAnsi="楷体_GB2312" w:eastAsia="楷体_GB2312" w:cs="楷体_GB2312"/>
          <w:bCs/>
          <w:color w:val="000000"/>
          <w:kern w:val="0"/>
          <w:sz w:val="32"/>
          <w:szCs w:val="32"/>
          <w:highlight w:val="none"/>
        </w:rPr>
        <w:t>基金的筹集、使用和管理</w:t>
      </w:r>
    </w:p>
    <w:p>
      <w:pPr>
        <w:pStyle w:val="7"/>
        <w:widowControl/>
        <w:numPr>
          <w:numId w:val="0"/>
        </w:numPr>
        <w:adjustRightInd w:val="0"/>
        <w:spacing w:beforeAutospacing="0" w:afterAutospacing="0" w:line="580" w:lineRule="atLeast"/>
        <w:ind w:leftChars="-131"/>
        <w:rPr>
          <w:rFonts w:hint="eastAsia" w:ascii="楷体_GB2312" w:hAnsi="楷体_GB2312" w:eastAsia="楷体_GB2312" w:cs="楷体_GB2312"/>
          <w:bCs/>
          <w:color w:val="000000"/>
          <w:sz w:val="32"/>
          <w:szCs w:val="32"/>
          <w:highlight w:val="none"/>
        </w:rPr>
      </w:pPr>
      <w:r>
        <w:rPr>
          <w:rFonts w:hint="eastAsia" w:ascii="楷体_GB2312" w:hAnsi="楷体_GB2312" w:eastAsia="楷体_GB2312" w:cs="楷体_GB2312"/>
          <w:bCs/>
          <w:color w:val="000000"/>
          <w:sz w:val="32"/>
          <w:szCs w:val="32"/>
          <w:highlight w:val="none"/>
        </w:rPr>
        <w:t xml:space="preserve"> </w:t>
      </w:r>
      <w:r>
        <w:rPr>
          <w:rFonts w:hint="default" w:ascii="楷体_GB2312" w:hAnsi="楷体_GB2312" w:eastAsia="楷体_GB2312" w:cs="楷体_GB2312"/>
          <w:bCs/>
          <w:color w:val="000000"/>
          <w:sz w:val="32"/>
          <w:szCs w:val="32"/>
          <w:highlight w:val="none"/>
          <w:lang w:val="en-US"/>
        </w:rPr>
        <w:t xml:space="preserve">   </w:t>
      </w:r>
      <w:r>
        <w:rPr>
          <w:rFonts w:hint="eastAsia" w:ascii="楷体_GB2312" w:hAnsi="楷体_GB2312" w:eastAsia="楷体_GB2312" w:cs="楷体_GB2312"/>
          <w:bCs/>
          <w:color w:val="000000"/>
          <w:sz w:val="32"/>
          <w:szCs w:val="32"/>
          <w:highlight w:val="none"/>
          <w:lang w:val="en-US" w:eastAsia="zh-CN"/>
        </w:rPr>
        <w:t xml:space="preserve">第六章  </w:t>
      </w:r>
      <w:r>
        <w:rPr>
          <w:rFonts w:hint="eastAsia" w:ascii="楷体_GB2312" w:hAnsi="楷体_GB2312" w:eastAsia="楷体_GB2312" w:cs="楷体_GB2312"/>
          <w:bCs/>
          <w:color w:val="000000"/>
          <w:sz w:val="32"/>
          <w:szCs w:val="32"/>
          <w:highlight w:val="none"/>
        </w:rPr>
        <w:t>法律责任</w:t>
      </w:r>
    </w:p>
    <w:p>
      <w:pPr>
        <w:pStyle w:val="7"/>
        <w:widowControl/>
        <w:numPr>
          <w:numId w:val="0"/>
        </w:numPr>
        <w:adjustRightInd w:val="0"/>
        <w:spacing w:beforeAutospacing="0" w:afterAutospacing="0" w:line="580" w:lineRule="atLeast"/>
        <w:ind w:leftChars="-131"/>
        <w:rPr>
          <w:rFonts w:hint="eastAsia" w:ascii="楷体_GB2312" w:hAnsi="楷体_GB2312" w:eastAsia="楷体_GB2312" w:cs="楷体_GB2312"/>
          <w:bCs/>
          <w:color w:val="000000"/>
          <w:sz w:val="32"/>
          <w:szCs w:val="32"/>
          <w:highlight w:val="none"/>
        </w:rPr>
      </w:pPr>
      <w:r>
        <w:rPr>
          <w:rFonts w:hint="eastAsia" w:ascii="楷体_GB2312" w:hAnsi="楷体_GB2312" w:eastAsia="楷体_GB2312" w:cs="楷体_GB2312"/>
          <w:bCs/>
          <w:color w:val="000000"/>
          <w:sz w:val="32"/>
          <w:szCs w:val="32"/>
          <w:highlight w:val="none"/>
        </w:rPr>
        <w:t xml:space="preserve"> </w:t>
      </w:r>
      <w:r>
        <w:rPr>
          <w:rFonts w:hint="default" w:ascii="楷体_GB2312" w:hAnsi="楷体_GB2312" w:eastAsia="楷体_GB2312" w:cs="楷体_GB2312"/>
          <w:bCs/>
          <w:color w:val="000000"/>
          <w:sz w:val="32"/>
          <w:szCs w:val="32"/>
          <w:highlight w:val="none"/>
          <w:lang w:val="en-US"/>
        </w:rPr>
        <w:t xml:space="preserve">   </w:t>
      </w:r>
      <w:r>
        <w:rPr>
          <w:rFonts w:hint="eastAsia" w:ascii="楷体_GB2312" w:hAnsi="楷体_GB2312" w:eastAsia="楷体_GB2312" w:cs="楷体_GB2312"/>
          <w:bCs/>
          <w:color w:val="000000"/>
          <w:sz w:val="32"/>
          <w:szCs w:val="32"/>
          <w:highlight w:val="none"/>
          <w:lang w:val="en-US" w:eastAsia="zh-CN"/>
        </w:rPr>
        <w:t xml:space="preserve">第七章  </w:t>
      </w:r>
      <w:r>
        <w:rPr>
          <w:rFonts w:hint="eastAsia" w:ascii="楷体_GB2312" w:hAnsi="楷体_GB2312" w:eastAsia="楷体_GB2312" w:cs="楷体_GB2312"/>
          <w:bCs/>
          <w:color w:val="000000"/>
          <w:sz w:val="32"/>
          <w:szCs w:val="32"/>
          <w:highlight w:val="none"/>
        </w:rPr>
        <w:t>附则</w:t>
      </w:r>
    </w:p>
    <w:p>
      <w:pPr>
        <w:pStyle w:val="7"/>
        <w:widowControl/>
        <w:spacing w:beforeAutospacing="0" w:afterAutospacing="0" w:line="560" w:lineRule="exact"/>
        <w:jc w:val="center"/>
        <w:rPr>
          <w:rFonts w:ascii="仿宋_GB2312" w:hAnsi="仿宋_GB2312" w:eastAsia="仿宋_GB2312" w:cs="仿宋_GB2312"/>
          <w:sz w:val="32"/>
          <w:szCs w:val="32"/>
          <w:highlight w:val="none"/>
          <w:shd w:val="clear" w:color="auto" w:fill="FFFFFF"/>
        </w:rPr>
      </w:pPr>
    </w:p>
    <w:p>
      <w:pPr>
        <w:pStyle w:val="7"/>
        <w:widowControl/>
        <w:numPr>
          <w:ilvl w:val="0"/>
          <w:numId w:val="1"/>
        </w:numPr>
        <w:spacing w:beforeAutospacing="0" w:afterAutospacing="0" w:line="560" w:lineRule="exact"/>
        <w:ind w:left="0"/>
        <w:jc w:val="center"/>
        <w:rPr>
          <w:rFonts w:ascii="黑体" w:hAnsi="黑体" w:eastAsia="黑体" w:cs="黑体"/>
          <w:bCs/>
          <w:sz w:val="32"/>
          <w:szCs w:val="32"/>
          <w:highlight w:val="none"/>
          <w:shd w:val="clear" w:color="auto" w:fill="FFFFFF"/>
        </w:rPr>
      </w:pPr>
      <w:r>
        <w:rPr>
          <w:rFonts w:hint="eastAsia" w:ascii="黑体" w:hAnsi="黑体" w:eastAsia="黑体" w:cs="黑体"/>
          <w:bCs/>
          <w:sz w:val="32"/>
          <w:szCs w:val="32"/>
          <w:highlight w:val="none"/>
          <w:shd w:val="clear" w:color="auto" w:fill="FFFFFF"/>
        </w:rPr>
        <w:t>总则</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w:t>
      </w:r>
      <w:r>
        <w:rPr>
          <w:rFonts w:hint="eastAsia" w:ascii="黑体" w:hAnsi="黑体" w:eastAsia="黑体" w:cs="黑体"/>
          <w:bCs/>
          <w:sz w:val="32"/>
          <w:szCs w:val="32"/>
          <w:highlight w:val="none"/>
          <w:shd w:val="clear" w:color="auto" w:fill="FFFFFF"/>
        </w:rPr>
        <w:t>第一条</w:t>
      </w:r>
      <w:r>
        <w:rPr>
          <w:rFonts w:hint="eastAsia" w:ascii="仿宋_GB2312" w:hAnsi="仿宋_GB2312" w:eastAsia="仿宋_GB2312" w:cs="仿宋_GB2312"/>
          <w:sz w:val="32"/>
          <w:szCs w:val="32"/>
          <w:highlight w:val="none"/>
          <w:shd w:val="clear" w:color="auto" w:fill="FFFFFF"/>
        </w:rPr>
        <w:t>　为</w:t>
      </w:r>
      <w:r>
        <w:rPr>
          <w:rFonts w:hint="eastAsia" w:ascii="仿宋_GB2312" w:hAnsi="仿宋_GB2312" w:eastAsia="仿宋_GB2312" w:cs="仿宋_GB2312"/>
          <w:sz w:val="32"/>
          <w:szCs w:val="32"/>
          <w:highlight w:val="none"/>
          <w:shd w:val="clear" w:color="auto" w:fill="FFFFFF"/>
          <w:lang w:val="en-US" w:eastAsia="zh-CN"/>
        </w:rPr>
        <w:t>了</w:t>
      </w:r>
      <w:r>
        <w:rPr>
          <w:rFonts w:hint="eastAsia" w:ascii="仿宋_GB2312" w:hAnsi="仿宋_GB2312" w:eastAsia="仿宋_GB2312" w:cs="仿宋_GB2312"/>
          <w:sz w:val="32"/>
          <w:szCs w:val="32"/>
          <w:highlight w:val="none"/>
          <w:shd w:val="clear" w:color="auto" w:fill="FFFFFF"/>
        </w:rPr>
        <w:t>弘扬社会正气，维护社会治安，奖励和保护见义勇为人员，规范</w:t>
      </w:r>
      <w:r>
        <w:rPr>
          <w:rFonts w:hint="eastAsia" w:ascii="仿宋_GB2312" w:hAnsi="仿宋_GB2312" w:eastAsia="仿宋_GB2312" w:cs="仿宋_GB2312"/>
          <w:sz w:val="32"/>
          <w:szCs w:val="32"/>
          <w:highlight w:val="none"/>
          <w:shd w:val="clear" w:color="auto" w:fill="FFFFFF"/>
          <w:lang w:val="en-US" w:eastAsia="zh-CN"/>
        </w:rPr>
        <w:t>见义勇为</w:t>
      </w:r>
      <w:r>
        <w:rPr>
          <w:rFonts w:hint="eastAsia" w:ascii="仿宋_GB2312" w:hAnsi="仿宋_GB2312" w:eastAsia="仿宋_GB2312" w:cs="仿宋_GB2312"/>
          <w:sz w:val="32"/>
          <w:szCs w:val="32"/>
          <w:highlight w:val="none"/>
          <w:shd w:val="clear" w:color="auto" w:fill="FFFFFF"/>
        </w:rPr>
        <w:t>基金的筹集、使用和管理，根据有关法律、</w:t>
      </w:r>
      <w:r>
        <w:rPr>
          <w:rFonts w:hint="eastAsia" w:ascii="仿宋_GB2312" w:hAnsi="仿宋_GB2312" w:eastAsia="仿宋_GB2312" w:cs="仿宋_GB2312"/>
          <w:sz w:val="32"/>
          <w:szCs w:val="32"/>
          <w:highlight w:val="none"/>
          <w:shd w:val="clear" w:color="auto" w:fill="FFFFFF"/>
          <w:lang w:val="en-US" w:eastAsia="zh-CN"/>
        </w:rPr>
        <w:t>行政</w:t>
      </w:r>
      <w:r>
        <w:rPr>
          <w:rFonts w:hint="eastAsia" w:ascii="仿宋_GB2312" w:hAnsi="仿宋_GB2312" w:eastAsia="仿宋_GB2312" w:cs="仿宋_GB2312"/>
          <w:sz w:val="32"/>
          <w:szCs w:val="32"/>
          <w:highlight w:val="none"/>
          <w:shd w:val="clear" w:color="auto" w:fill="FFFFFF"/>
        </w:rPr>
        <w:t>法规的</w:t>
      </w:r>
      <w:r>
        <w:rPr>
          <w:rFonts w:hint="eastAsia" w:ascii="仿宋_GB2312" w:hAnsi="仿宋_GB2312" w:eastAsia="仿宋_GB2312" w:cs="仿宋_GB2312"/>
          <w:sz w:val="32"/>
          <w:szCs w:val="32"/>
          <w:highlight w:val="none"/>
          <w:shd w:val="clear" w:color="auto" w:fill="FFFFFF"/>
          <w:lang w:val="en-US" w:eastAsia="zh-CN"/>
        </w:rPr>
        <w:t>基本原则</w:t>
      </w:r>
      <w:r>
        <w:rPr>
          <w:rFonts w:hint="eastAsia" w:ascii="仿宋_GB2312" w:hAnsi="仿宋_GB2312" w:eastAsia="仿宋_GB2312" w:cs="仿宋_GB2312"/>
          <w:sz w:val="32"/>
          <w:szCs w:val="32"/>
          <w:highlight w:val="none"/>
          <w:shd w:val="clear" w:color="auto" w:fill="FFFFFF"/>
        </w:rPr>
        <w:t>，结合深圳经济特区（以下简称特区）实际，制定本条例。</w:t>
      </w:r>
    </w:p>
    <w:p>
      <w:pPr>
        <w:pStyle w:val="7"/>
        <w:widowControl/>
        <w:spacing w:beforeAutospacing="0" w:afterAutospacing="0" w:line="560" w:lineRule="exact"/>
        <w:ind w:firstLine="640"/>
        <w:jc w:val="both"/>
        <w:rPr>
          <w:rFonts w:hint="eastAsia" w:ascii="仿宋_GB2312" w:hAnsi="仿宋_GB2312" w:eastAsia="仿宋_GB2312" w:cs="仿宋_GB2312"/>
          <w:sz w:val="32"/>
          <w:szCs w:val="32"/>
          <w:highlight w:val="none"/>
          <w:shd w:val="clear" w:color="auto" w:fill="FFFFFF"/>
        </w:rPr>
      </w:pPr>
      <w:r>
        <w:rPr>
          <w:rFonts w:hint="eastAsia" w:ascii="黑体" w:hAnsi="黑体" w:eastAsia="黑体" w:cs="黑体"/>
          <w:sz w:val="32"/>
          <w:szCs w:val="32"/>
          <w:highlight w:val="none"/>
          <w:shd w:val="clear" w:color="auto" w:fill="FFFFFF"/>
        </w:rPr>
        <w:t>第二条</w:t>
      </w:r>
      <w:r>
        <w:rPr>
          <w:rFonts w:hint="eastAsia" w:ascii="仿宋_GB2312" w:hAnsi="仿宋_GB2312" w:eastAsia="仿宋_GB2312" w:cs="仿宋_GB2312"/>
          <w:sz w:val="32"/>
          <w:szCs w:val="32"/>
          <w:highlight w:val="none"/>
          <w:shd w:val="clear" w:color="auto" w:fill="FFFFFF"/>
        </w:rPr>
        <w:t>　对在特区内见义勇为的人员进行奖励和保护，适用本条例；本市公民在外地见义勇为的，参照适用本条例。　　</w:t>
      </w:r>
    </w:p>
    <w:p>
      <w:pPr>
        <w:pStyle w:val="7"/>
        <w:widowControl/>
        <w:spacing w:beforeAutospacing="0" w:afterAutospacing="0" w:line="560" w:lineRule="exact"/>
        <w:ind w:firstLine="640"/>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人民警察、武装警察、现役军人和其他公职安全保卫人员，在非执行公务时的见义勇为行为适用本条例。</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w:t>
      </w:r>
      <w:r>
        <w:rPr>
          <w:rFonts w:hint="eastAsia" w:ascii="黑体" w:hAnsi="黑体" w:eastAsia="黑体" w:cs="黑体"/>
          <w:sz w:val="32"/>
          <w:szCs w:val="32"/>
          <w:highlight w:val="none"/>
          <w:shd w:val="clear" w:color="auto" w:fill="FFFFFF"/>
        </w:rPr>
        <w:t>　第三条</w:t>
      </w:r>
      <w:r>
        <w:rPr>
          <w:rFonts w:hint="eastAsia" w:ascii="仿宋_GB2312" w:hAnsi="仿宋_GB2312" w:eastAsia="仿宋_GB2312" w:cs="仿宋_GB2312"/>
          <w:sz w:val="32"/>
          <w:szCs w:val="32"/>
          <w:highlight w:val="none"/>
          <w:shd w:val="clear" w:color="auto" w:fill="FFFFFF"/>
        </w:rPr>
        <w:t>　对见义勇为人员的奖励实行物质奖励和精神奖励相结合的原则。</w:t>
      </w:r>
    </w:p>
    <w:p>
      <w:pPr>
        <w:pStyle w:val="7"/>
        <w:widowControl/>
        <w:spacing w:beforeAutospacing="0" w:afterAutospacing="0" w:line="560" w:lineRule="exact"/>
        <w:ind w:firstLine="640"/>
        <w:jc w:val="both"/>
        <w:rPr>
          <w:rFonts w:ascii="仿宋_GB2312" w:hAnsi="仿宋_GB2312" w:eastAsia="仿宋_GB2312" w:cs="仿宋_GB2312"/>
          <w:sz w:val="32"/>
          <w:szCs w:val="32"/>
          <w:highlight w:val="none"/>
          <w:shd w:val="clear" w:color="auto" w:fill="FFFFFF"/>
        </w:rPr>
      </w:pPr>
      <w:r>
        <w:rPr>
          <w:rFonts w:hint="eastAsia" w:ascii="黑体" w:hAnsi="黑体" w:eastAsia="黑体" w:cs="黑体"/>
          <w:sz w:val="32"/>
          <w:szCs w:val="32"/>
          <w:highlight w:val="none"/>
          <w:shd w:val="clear" w:color="auto" w:fill="FFFFFF"/>
        </w:rPr>
        <w:t>第四条</w:t>
      </w:r>
      <w:r>
        <w:rPr>
          <w:rFonts w:hint="eastAsia" w:ascii="仿宋_GB2312" w:hAnsi="仿宋_GB2312" w:eastAsia="仿宋_GB2312" w:cs="仿宋_GB2312"/>
          <w:sz w:val="32"/>
          <w:szCs w:val="32"/>
          <w:highlight w:val="none"/>
          <w:shd w:val="clear" w:color="auto" w:fill="FFFFFF"/>
        </w:rPr>
        <w:t>　为</w:t>
      </w:r>
      <w:r>
        <w:rPr>
          <w:rFonts w:hint="eastAsia" w:ascii="仿宋_GB2312" w:hAnsi="仿宋_GB2312" w:eastAsia="仿宋_GB2312" w:cs="仿宋_GB2312"/>
          <w:sz w:val="32"/>
          <w:szCs w:val="32"/>
          <w:highlight w:val="none"/>
          <w:shd w:val="clear" w:color="auto" w:fill="FFFFFF"/>
          <w:lang w:val="en-US" w:eastAsia="zh-CN"/>
        </w:rPr>
        <w:t>了</w:t>
      </w:r>
      <w:r>
        <w:rPr>
          <w:rFonts w:hint="eastAsia" w:ascii="仿宋_GB2312" w:hAnsi="仿宋_GB2312" w:eastAsia="仿宋_GB2312" w:cs="仿宋_GB2312"/>
          <w:sz w:val="32"/>
          <w:szCs w:val="32"/>
          <w:highlight w:val="none"/>
          <w:shd w:val="clear" w:color="auto" w:fill="FFFFFF"/>
        </w:rPr>
        <w:t>奖励和保护见义勇为人员，依法设立深圳市见义勇为基金（以下简称基金）。</w:t>
      </w:r>
    </w:p>
    <w:p>
      <w:pPr>
        <w:pStyle w:val="7"/>
        <w:widowControl/>
        <w:spacing w:beforeAutospacing="0" w:afterAutospacing="0" w:line="560" w:lineRule="exact"/>
        <w:ind w:firstLine="640"/>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基金的使用和管理应当接受有关部门和社会的监督。</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w:t>
      </w:r>
      <w:r>
        <w:rPr>
          <w:rFonts w:hint="eastAsia" w:ascii="黑体" w:hAnsi="黑体" w:eastAsia="黑体" w:cs="黑体"/>
          <w:sz w:val="32"/>
          <w:szCs w:val="32"/>
          <w:highlight w:val="none"/>
          <w:shd w:val="clear" w:color="auto" w:fill="FFFFFF"/>
        </w:rPr>
        <w:t>第五条</w:t>
      </w:r>
      <w:r>
        <w:rPr>
          <w:rFonts w:hint="eastAsia" w:ascii="仿宋_GB2312" w:hAnsi="仿宋_GB2312" w:eastAsia="仿宋_GB2312" w:cs="仿宋_GB2312"/>
          <w:sz w:val="32"/>
          <w:szCs w:val="32"/>
          <w:highlight w:val="none"/>
          <w:shd w:val="clear" w:color="auto" w:fill="FFFFFF"/>
        </w:rPr>
        <w:t>　市人民政府负责本条例的实施。公安、民政、</w:t>
      </w:r>
      <w:r>
        <w:rPr>
          <w:rFonts w:hint="eastAsia" w:ascii="仿宋_GB2312" w:hAnsi="仿宋_GB2312" w:eastAsia="仿宋_GB2312" w:cs="仿宋_GB2312"/>
          <w:sz w:val="32"/>
          <w:szCs w:val="32"/>
          <w:highlight w:val="none"/>
          <w:shd w:val="clear" w:color="auto" w:fill="FFFFFF"/>
          <w:lang w:val="en-US" w:eastAsia="zh-CN"/>
        </w:rPr>
        <w:t>人力资源保障</w:t>
      </w:r>
      <w:r>
        <w:rPr>
          <w:rFonts w:hint="eastAsia" w:ascii="仿宋_GB2312" w:hAnsi="仿宋_GB2312" w:eastAsia="仿宋_GB2312" w:cs="仿宋_GB2312"/>
          <w:sz w:val="32"/>
          <w:szCs w:val="32"/>
          <w:highlight w:val="none"/>
          <w:shd w:val="clear" w:color="auto" w:fill="FFFFFF"/>
        </w:rPr>
        <w:t>、卫生</w:t>
      </w:r>
      <w:r>
        <w:rPr>
          <w:rFonts w:hint="eastAsia" w:ascii="仿宋_GB2312" w:hAnsi="仿宋_GB2312" w:eastAsia="仿宋_GB2312" w:cs="仿宋_GB2312"/>
          <w:sz w:val="32"/>
          <w:szCs w:val="32"/>
          <w:highlight w:val="none"/>
          <w:shd w:val="clear" w:color="auto" w:fill="FFFFFF"/>
          <w:lang w:val="en-US" w:eastAsia="zh-CN"/>
        </w:rPr>
        <w:t>健康</w:t>
      </w:r>
      <w:r>
        <w:rPr>
          <w:rFonts w:hint="eastAsia" w:ascii="仿宋_GB2312" w:hAnsi="仿宋_GB2312" w:eastAsia="仿宋_GB2312" w:cs="仿宋_GB2312"/>
          <w:sz w:val="32"/>
          <w:szCs w:val="32"/>
          <w:highlight w:val="none"/>
          <w:shd w:val="clear" w:color="auto" w:fill="FFFFFF"/>
        </w:rPr>
        <w:t>、新闻</w:t>
      </w:r>
      <w:r>
        <w:rPr>
          <w:rFonts w:hint="eastAsia" w:ascii="仿宋_GB2312" w:hAnsi="仿宋_GB2312" w:eastAsia="仿宋_GB2312" w:cs="仿宋_GB2312"/>
          <w:sz w:val="32"/>
          <w:szCs w:val="32"/>
          <w:highlight w:val="none"/>
          <w:shd w:val="clear" w:color="auto" w:fill="FFFFFF"/>
          <w:lang w:val="en-US" w:eastAsia="zh-CN"/>
        </w:rPr>
        <w:t>出版、人民银行</w:t>
      </w:r>
      <w:r>
        <w:rPr>
          <w:rFonts w:hint="eastAsia" w:ascii="仿宋_GB2312" w:hAnsi="仿宋_GB2312" w:eastAsia="仿宋_GB2312" w:cs="仿宋_GB2312"/>
          <w:sz w:val="32"/>
          <w:szCs w:val="32"/>
          <w:highlight w:val="none"/>
          <w:shd w:val="clear" w:color="auto" w:fill="FFFFFF"/>
        </w:rPr>
        <w:t>等部门在各自职责范围内负责本条例的实施。</w:t>
      </w:r>
    </w:p>
    <w:p>
      <w:pPr>
        <w:pStyle w:val="7"/>
        <w:widowControl/>
        <w:spacing w:beforeAutospacing="0" w:afterAutospacing="0" w:line="560" w:lineRule="exact"/>
        <w:ind w:firstLine="640" w:firstLineChars="200"/>
        <w:jc w:val="both"/>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shd w:val="clear" w:color="auto" w:fill="FFFFFF"/>
        </w:rPr>
        <w:t>深圳市见义勇为基金会（以下简称基金会）是依法成立的社团法人，负责办理本条例规定中的具体事项。基金会应当</w:t>
      </w:r>
      <w:r>
        <w:rPr>
          <w:rFonts w:hint="eastAsia" w:ascii="仿宋_GB2312" w:hAnsi="仿宋_GB2312" w:eastAsia="仿宋_GB2312" w:cs="仿宋_GB2312"/>
          <w:sz w:val="32"/>
          <w:szCs w:val="32"/>
          <w:highlight w:val="none"/>
          <w:shd w:val="clear" w:color="auto" w:fill="FFFFFF"/>
          <w:lang w:val="en-US" w:eastAsia="zh-CN"/>
        </w:rPr>
        <w:t>依</w:t>
      </w:r>
      <w:r>
        <w:rPr>
          <w:rFonts w:hint="eastAsia" w:ascii="仿宋_GB2312" w:hAnsi="仿宋_GB2312" w:eastAsia="仿宋_GB2312" w:cs="仿宋_GB2312"/>
          <w:sz w:val="32"/>
          <w:szCs w:val="32"/>
          <w:highlight w:val="none"/>
          <w:shd w:val="clear" w:color="auto" w:fill="FFFFFF"/>
        </w:rPr>
        <w:t>照有关法律、法规以及基金会章程的规定开展活动。</w:t>
      </w:r>
    </w:p>
    <w:p>
      <w:pPr>
        <w:widowControl/>
        <w:shd w:val="clear" w:color="auto" w:fill="auto"/>
        <w:spacing w:line="560" w:lineRule="exact"/>
        <w:jc w:val="center"/>
        <w:rPr>
          <w:rFonts w:ascii="黑体" w:hAnsi="黑体" w:eastAsia="黑体" w:cs="黑体"/>
          <w:kern w:val="0"/>
          <w:sz w:val="32"/>
          <w:szCs w:val="32"/>
          <w:highlight w:val="none"/>
          <w:shd w:val="clear" w:color="auto" w:fill="FFFFFF"/>
          <w:lang w:bidi="ar"/>
        </w:rPr>
      </w:pPr>
    </w:p>
    <w:p>
      <w:pPr>
        <w:widowControl/>
        <w:numPr>
          <w:ilvl w:val="0"/>
          <w:numId w:val="1"/>
        </w:numPr>
        <w:shd w:val="clear" w:color="auto" w:fill="auto"/>
        <w:spacing w:line="560" w:lineRule="exact"/>
        <w:ind w:left="0"/>
        <w:jc w:val="center"/>
        <w:rPr>
          <w:rFonts w:ascii="黑体" w:hAnsi="黑体" w:eastAsia="黑体" w:cs="黑体"/>
          <w:kern w:val="0"/>
          <w:sz w:val="32"/>
          <w:szCs w:val="32"/>
          <w:highlight w:val="none"/>
          <w:shd w:val="clear" w:color="auto" w:fill="FFFFFF"/>
          <w:lang w:bidi="ar"/>
        </w:rPr>
      </w:pPr>
      <w:r>
        <w:rPr>
          <w:rFonts w:hint="eastAsia" w:ascii="黑体" w:hAnsi="黑体" w:eastAsia="黑体" w:cs="黑体"/>
          <w:kern w:val="0"/>
          <w:sz w:val="32"/>
          <w:szCs w:val="32"/>
          <w:highlight w:val="none"/>
          <w:shd w:val="clear" w:color="auto" w:fill="FFFFFF"/>
          <w:lang w:bidi="ar"/>
        </w:rPr>
        <w:t>见义勇为行为的确认</w:t>
      </w:r>
    </w:p>
    <w:p>
      <w:pPr>
        <w:widowControl/>
        <w:shd w:val="clear" w:color="auto" w:fill="auto"/>
        <w:spacing w:line="560" w:lineRule="exact"/>
        <w:rPr>
          <w:rFonts w:ascii="黑体" w:hAnsi="黑体" w:eastAsia="黑体" w:cs="黑体"/>
          <w:kern w:val="0"/>
          <w:sz w:val="32"/>
          <w:szCs w:val="32"/>
          <w:highlight w:val="none"/>
          <w:shd w:val="clear" w:color="auto" w:fill="FFFFFF"/>
          <w:lang w:bidi="ar"/>
        </w:rPr>
      </w:pP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w:t>
      </w:r>
      <w:r>
        <w:rPr>
          <w:rFonts w:hint="eastAsia" w:ascii="黑体" w:hAnsi="黑体" w:eastAsia="黑体" w:cs="黑体"/>
          <w:sz w:val="32"/>
          <w:szCs w:val="32"/>
          <w:highlight w:val="none"/>
          <w:shd w:val="clear" w:color="auto" w:fill="FFFFFF"/>
          <w:lang w:bidi="ar"/>
        </w:rPr>
        <w:t>第六条</w:t>
      </w:r>
      <w:r>
        <w:rPr>
          <w:rFonts w:hint="eastAsia" w:ascii="仿宋_GB2312" w:hAnsi="仿宋_GB2312" w:eastAsia="仿宋_GB2312" w:cs="仿宋_GB2312"/>
          <w:sz w:val="32"/>
          <w:szCs w:val="32"/>
          <w:highlight w:val="none"/>
          <w:shd w:val="clear" w:color="auto" w:fill="FFFFFF"/>
        </w:rPr>
        <w:t>　本条例所称见义勇为行为</w:t>
      </w:r>
      <w:r>
        <w:rPr>
          <w:rFonts w:hint="eastAsia" w:ascii="仿宋_GB2312" w:hAnsi="仿宋_GB2312" w:eastAsia="仿宋_GB2312" w:cs="仿宋_GB2312"/>
          <w:sz w:val="32"/>
          <w:szCs w:val="32"/>
          <w:highlight w:val="none"/>
          <w:shd w:val="clear" w:color="auto" w:fill="FFFFFF"/>
          <w:lang w:eastAsia="zh-CN"/>
        </w:rPr>
        <w:t>，</w:t>
      </w:r>
      <w:r>
        <w:rPr>
          <w:rFonts w:hint="eastAsia" w:ascii="仿宋_GB2312" w:hAnsi="仿宋_GB2312" w:eastAsia="仿宋_GB2312" w:cs="仿宋_GB2312"/>
          <w:sz w:val="32"/>
          <w:szCs w:val="32"/>
          <w:highlight w:val="none"/>
          <w:shd w:val="clear" w:color="auto" w:fill="FFFFFF"/>
        </w:rPr>
        <w:t>是指：</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(一)同正在进行的侵犯国家、集体、个人财产或者公民人身权利的违法犯罪行为进行斗争，使之免遭或者减轻损害的；</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(二)同正在进行的危害国家安全和社会公共秩序的违法犯罪行为进行斗争，制止违法犯罪行为的；</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(三)积极协助公安、司法机关追捕犯罪嫌疑人，或者协助侦破大案，事迹突出的；</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(四)在抢险救灾中，不顾个人安危，使国家财产和人民生命财产免受重大损失，事迹突出，影响重大的。</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w:t>
      </w:r>
      <w:r>
        <w:rPr>
          <w:rFonts w:hint="eastAsia" w:ascii="黑体" w:hAnsi="黑体" w:eastAsia="黑体" w:cs="黑体"/>
          <w:sz w:val="32"/>
          <w:szCs w:val="32"/>
          <w:highlight w:val="none"/>
          <w:shd w:val="clear" w:color="auto" w:fill="FFFFFF"/>
          <w:lang w:bidi="ar"/>
        </w:rPr>
        <w:t>第七条</w:t>
      </w:r>
      <w:r>
        <w:rPr>
          <w:rFonts w:hint="eastAsia" w:ascii="仿宋_GB2312" w:hAnsi="仿宋_GB2312" w:eastAsia="仿宋_GB2312" w:cs="仿宋_GB2312"/>
          <w:sz w:val="32"/>
          <w:szCs w:val="32"/>
          <w:highlight w:val="none"/>
          <w:shd w:val="clear" w:color="auto" w:fill="FFFFFF"/>
        </w:rPr>
        <w:t>　见义勇为人员可以向基金会申请确认其见义勇为行为。有关</w:t>
      </w:r>
      <w:r>
        <w:rPr>
          <w:rFonts w:hint="default" w:ascii="仿宋_GB2312" w:hAnsi="仿宋_GB2312" w:eastAsia="仿宋_GB2312" w:cs="仿宋_GB2312"/>
          <w:sz w:val="32"/>
          <w:szCs w:val="32"/>
          <w:highlight w:val="none"/>
          <w:shd w:val="clear" w:color="auto" w:fill="FFFFFF"/>
          <w:lang w:val="en-US"/>
        </w:rPr>
        <w:t>单位</w:t>
      </w:r>
      <w:r>
        <w:rPr>
          <w:rFonts w:hint="eastAsia" w:ascii="仿宋_GB2312" w:hAnsi="仿宋_GB2312" w:eastAsia="仿宋_GB2312" w:cs="仿宋_GB2312"/>
          <w:sz w:val="32"/>
          <w:szCs w:val="32"/>
          <w:highlight w:val="none"/>
          <w:shd w:val="clear" w:color="auto" w:fill="FFFFFF"/>
        </w:rPr>
        <w:t>或者个人也可以向基金会举荐见义勇为人员。经确认的见义勇为人员，享受本条例规定的奖励和保护。申请人或者举荐人应当提供身份证明及其他证明材料。</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w:t>
      </w:r>
      <w:r>
        <w:rPr>
          <w:rFonts w:hint="eastAsia" w:ascii="黑体" w:hAnsi="黑体" w:eastAsia="黑体" w:cs="黑体"/>
          <w:sz w:val="32"/>
          <w:szCs w:val="32"/>
          <w:highlight w:val="none"/>
          <w:shd w:val="clear" w:color="auto" w:fill="FFFFFF"/>
          <w:lang w:bidi="ar"/>
        </w:rPr>
        <w:t>第八条</w:t>
      </w:r>
      <w:r>
        <w:rPr>
          <w:rFonts w:hint="eastAsia" w:ascii="仿宋_GB2312" w:hAnsi="仿宋_GB2312" w:eastAsia="仿宋_GB2312" w:cs="仿宋_GB2312"/>
          <w:sz w:val="32"/>
          <w:szCs w:val="32"/>
          <w:highlight w:val="none"/>
          <w:shd w:val="clear" w:color="auto" w:fill="FFFFFF"/>
        </w:rPr>
        <w:t>　基金会受理申请或者举荐后，应当及时派员对见义勇为行为进行调查核实，并收集和保存有关证据材料。对不属于见义勇为行为的，基金会应当书面通知申请人或者举荐人。调查核实的材料应当由见义勇为行为发生地的公安机关证明。属于第六条第四项行为的，调查核实材料应当由法定主管机关证明。</w:t>
      </w:r>
    </w:p>
    <w:p>
      <w:pPr>
        <w:pStyle w:val="7"/>
        <w:widowControl/>
        <w:spacing w:beforeAutospacing="0" w:afterAutospacing="0" w:line="560" w:lineRule="exact"/>
        <w:ind w:firstLine="640"/>
        <w:jc w:val="both"/>
        <w:rPr>
          <w:rFonts w:ascii="仿宋_GB2312" w:hAnsi="仿宋_GB2312" w:eastAsia="仿宋_GB2312" w:cs="仿宋_GB2312"/>
          <w:sz w:val="32"/>
          <w:szCs w:val="32"/>
          <w:highlight w:val="none"/>
          <w:shd w:val="clear" w:color="auto" w:fill="FFFFFF"/>
        </w:rPr>
      </w:pPr>
      <w:r>
        <w:rPr>
          <w:rFonts w:hint="eastAsia" w:ascii="黑体" w:hAnsi="黑体" w:eastAsia="黑体" w:cs="黑体"/>
          <w:sz w:val="32"/>
          <w:szCs w:val="32"/>
          <w:highlight w:val="none"/>
          <w:shd w:val="clear" w:color="auto" w:fill="FFFFFF"/>
          <w:lang w:bidi="ar"/>
        </w:rPr>
        <w:t>第九条</w:t>
      </w:r>
      <w:r>
        <w:rPr>
          <w:rFonts w:hint="eastAsia" w:ascii="仿宋_GB2312" w:hAnsi="仿宋_GB2312" w:eastAsia="仿宋_GB2312" w:cs="仿宋_GB2312"/>
          <w:sz w:val="32"/>
          <w:szCs w:val="32"/>
          <w:highlight w:val="none"/>
          <w:shd w:val="clear" w:color="auto" w:fill="FFFFFF"/>
        </w:rPr>
        <w:t>　见义勇为行为没有被确认的，行为人或者举荐人可以向基金会申请复议。</w:t>
      </w:r>
    </w:p>
    <w:p>
      <w:pPr>
        <w:pStyle w:val="7"/>
        <w:widowControl/>
        <w:spacing w:beforeAutospacing="0" w:afterAutospacing="0" w:line="560" w:lineRule="exact"/>
        <w:ind w:firstLine="640"/>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基金会对复议申请应当认真研究，并在接到申请之日起一个月内书面答复申请人或者举荐人。</w:t>
      </w:r>
    </w:p>
    <w:p>
      <w:pPr>
        <w:pStyle w:val="7"/>
        <w:widowControl/>
        <w:spacing w:beforeAutospacing="0" w:afterAutospacing="0" w:line="560" w:lineRule="exact"/>
        <w:ind w:firstLine="640"/>
        <w:jc w:val="both"/>
        <w:rPr>
          <w:rFonts w:ascii="仿宋_GB2312" w:hAnsi="仿宋_GB2312" w:eastAsia="仿宋_GB2312" w:cs="仿宋_GB2312"/>
          <w:sz w:val="32"/>
          <w:szCs w:val="32"/>
          <w:highlight w:val="none"/>
          <w:shd w:val="clear" w:color="auto" w:fill="FFFFFF"/>
        </w:rPr>
      </w:pPr>
    </w:p>
    <w:p>
      <w:pPr>
        <w:pStyle w:val="7"/>
        <w:widowControl/>
        <w:numPr>
          <w:ilvl w:val="0"/>
          <w:numId w:val="1"/>
        </w:numPr>
        <w:spacing w:beforeAutospacing="0" w:afterAutospacing="0" w:line="560" w:lineRule="exact"/>
        <w:ind w:left="0"/>
        <w:jc w:val="center"/>
        <w:rPr>
          <w:rFonts w:ascii="黑体" w:hAnsi="黑体" w:eastAsia="黑体" w:cs="黑体"/>
          <w:sz w:val="32"/>
          <w:szCs w:val="32"/>
          <w:highlight w:val="none"/>
          <w:shd w:val="clear" w:color="auto" w:fill="FFFFFF"/>
        </w:rPr>
      </w:pPr>
      <w:r>
        <w:rPr>
          <w:rFonts w:hint="eastAsia" w:ascii="黑体" w:hAnsi="黑体" w:eastAsia="黑体" w:cs="黑体"/>
          <w:sz w:val="32"/>
          <w:szCs w:val="32"/>
          <w:highlight w:val="none"/>
          <w:shd w:val="clear" w:color="auto" w:fill="FFFFFF"/>
        </w:rPr>
        <w:t>奖励</w:t>
      </w:r>
    </w:p>
    <w:p>
      <w:pPr>
        <w:pStyle w:val="7"/>
        <w:widowControl/>
        <w:spacing w:beforeAutospacing="0" w:afterAutospacing="0" w:line="560" w:lineRule="exact"/>
        <w:jc w:val="both"/>
        <w:rPr>
          <w:rFonts w:ascii="黑体" w:hAnsi="黑体" w:eastAsia="黑体" w:cs="黑体"/>
          <w:sz w:val="32"/>
          <w:szCs w:val="32"/>
          <w:highlight w:val="none"/>
          <w:shd w:val="clear" w:color="auto" w:fill="FFFFFF"/>
        </w:rPr>
      </w:pPr>
    </w:p>
    <w:p>
      <w:pPr>
        <w:pStyle w:val="7"/>
        <w:widowControl/>
        <w:spacing w:beforeAutospacing="0" w:afterAutospacing="0" w:line="560" w:lineRule="exact"/>
        <w:ind w:firstLine="665"/>
        <w:jc w:val="both"/>
        <w:rPr>
          <w:rFonts w:ascii="仿宋_GB2312" w:hAnsi="仿宋_GB2312" w:eastAsia="仿宋_GB2312" w:cs="仿宋_GB2312"/>
          <w:sz w:val="32"/>
          <w:szCs w:val="32"/>
          <w:highlight w:val="none"/>
          <w:shd w:val="clear" w:color="auto" w:fill="FFFFFF"/>
        </w:rPr>
      </w:pPr>
      <w:r>
        <w:rPr>
          <w:rFonts w:hint="eastAsia" w:ascii="黑体" w:hAnsi="黑体" w:eastAsia="黑体" w:cs="黑体"/>
          <w:sz w:val="32"/>
          <w:szCs w:val="32"/>
          <w:highlight w:val="none"/>
          <w:shd w:val="clear" w:color="auto" w:fill="FFFFFF"/>
        </w:rPr>
        <w:t>第十条</w:t>
      </w:r>
      <w:r>
        <w:rPr>
          <w:rFonts w:hint="eastAsia" w:ascii="仿宋_GB2312" w:hAnsi="仿宋_GB2312" w:eastAsia="仿宋_GB2312" w:cs="仿宋_GB2312"/>
          <w:sz w:val="32"/>
          <w:szCs w:val="32"/>
          <w:highlight w:val="none"/>
          <w:shd w:val="clear" w:color="auto" w:fill="FFFFFF"/>
        </w:rPr>
        <w:t>　基金会对见义勇为人员应当给予不同等级的奖金奖励。奖金的等级、适用条件及审批权限由基金会理事会决定。</w:t>
      </w:r>
    </w:p>
    <w:p>
      <w:pPr>
        <w:pStyle w:val="7"/>
        <w:widowControl/>
        <w:spacing w:beforeAutospacing="0" w:afterAutospacing="0" w:line="560" w:lineRule="exact"/>
        <w:ind w:firstLine="665"/>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基金会对于事迹突出的见义勇为人员可以颁发荣誉证书，事迹特别突出的，还可以向有关部门推荐奖励。</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w:t>
      </w:r>
      <w:r>
        <w:rPr>
          <w:rFonts w:hint="eastAsia" w:ascii="黑体" w:hAnsi="黑体" w:eastAsia="黑体" w:cs="黑体"/>
          <w:sz w:val="32"/>
          <w:szCs w:val="32"/>
          <w:highlight w:val="none"/>
          <w:shd w:val="clear" w:color="auto" w:fill="FFFFFF"/>
        </w:rPr>
        <w:t>第十一条</w:t>
      </w:r>
      <w:r>
        <w:rPr>
          <w:rFonts w:hint="eastAsia" w:ascii="仿宋_GB2312" w:hAnsi="仿宋_GB2312" w:eastAsia="仿宋_GB2312" w:cs="仿宋_GB2312"/>
          <w:sz w:val="32"/>
          <w:szCs w:val="32"/>
          <w:highlight w:val="none"/>
          <w:shd w:val="clear" w:color="auto" w:fill="FFFFFF"/>
        </w:rPr>
        <w:t>　市、区人民政府及其有关部门对于事迹突出、贡献较大的见义勇为人员应当给予以下表彰和奖励：</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(一)通报嘉奖；</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(二)颁发奖金；</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(三)晋升工资；</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(四)记功；</w:t>
      </w:r>
    </w:p>
    <w:p>
      <w:pPr>
        <w:pStyle w:val="7"/>
        <w:widowControl/>
        <w:spacing w:beforeAutospacing="0" w:afterAutospacing="0" w:line="560" w:lineRule="exact"/>
        <w:ind w:firstLine="640"/>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(五)授予“见义勇为先进分子”荣誉称号。　　</w:t>
      </w:r>
    </w:p>
    <w:p>
      <w:pPr>
        <w:pStyle w:val="7"/>
        <w:widowControl/>
        <w:spacing w:beforeAutospacing="0" w:afterAutospacing="0" w:line="560" w:lineRule="exact"/>
        <w:ind w:firstLine="640"/>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前款表彰和奖励可以单独适用，也可以合并适用。事迹特别突出的，可以报送上一级人民政府表彰和奖励。　　</w:t>
      </w:r>
    </w:p>
    <w:p>
      <w:pPr>
        <w:pStyle w:val="7"/>
        <w:widowControl/>
        <w:spacing w:beforeAutospacing="0" w:afterAutospacing="0" w:line="560" w:lineRule="exact"/>
        <w:ind w:firstLine="640"/>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上述表彰和奖励的见义勇为人员，属于国家机关、企业、事业单位及社会团体工作人员，由其所在单位呈报；其他人员，由基金会呈报。</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w:t>
      </w:r>
      <w:r>
        <w:rPr>
          <w:rFonts w:hint="eastAsia" w:ascii="黑体" w:hAnsi="黑体" w:eastAsia="黑体" w:cs="黑体"/>
          <w:sz w:val="32"/>
          <w:szCs w:val="32"/>
          <w:highlight w:val="none"/>
          <w:shd w:val="clear" w:color="auto" w:fill="FFFFFF"/>
        </w:rPr>
        <w:t>第十二条　</w:t>
      </w:r>
      <w:r>
        <w:rPr>
          <w:rFonts w:hint="eastAsia" w:ascii="仿宋_GB2312" w:hAnsi="仿宋_GB2312" w:eastAsia="仿宋_GB2312" w:cs="仿宋_GB2312"/>
          <w:sz w:val="32"/>
          <w:szCs w:val="32"/>
          <w:highlight w:val="none"/>
          <w:shd w:val="clear" w:color="auto" w:fill="FFFFFF"/>
        </w:rPr>
        <w:t>获得人民政府授予荣誉称号的见义勇为人员，在同等条件下享有升学、入伍、就业、住房、晋升工资、入户等方面的优先权。获得市人民政府授予“见义勇为先进分子”荣誉称号的见义勇为人员，享受市级劳动模范的待遇。</w:t>
      </w:r>
    </w:p>
    <w:p>
      <w:pPr>
        <w:pStyle w:val="7"/>
        <w:widowControl/>
        <w:spacing w:beforeAutospacing="0" w:afterAutospacing="0" w:line="560" w:lineRule="exact"/>
        <w:ind w:firstLine="640"/>
        <w:jc w:val="both"/>
        <w:rPr>
          <w:rFonts w:ascii="仿宋_GB2312" w:hAnsi="仿宋_GB2312" w:eastAsia="仿宋_GB2312" w:cs="仿宋_GB2312"/>
          <w:sz w:val="32"/>
          <w:szCs w:val="32"/>
          <w:highlight w:val="none"/>
          <w:shd w:val="clear" w:color="auto" w:fill="FFFFFF"/>
        </w:rPr>
      </w:pPr>
      <w:r>
        <w:rPr>
          <w:rFonts w:hint="eastAsia" w:ascii="黑体" w:hAnsi="黑体" w:eastAsia="黑体" w:cs="黑体"/>
          <w:sz w:val="32"/>
          <w:szCs w:val="32"/>
          <w:highlight w:val="none"/>
          <w:shd w:val="clear" w:color="auto" w:fill="FFFFFF"/>
        </w:rPr>
        <w:t>第十三条</w:t>
      </w:r>
      <w:r>
        <w:rPr>
          <w:rFonts w:hint="eastAsia" w:ascii="仿宋_GB2312" w:hAnsi="仿宋_GB2312" w:eastAsia="仿宋_GB2312" w:cs="仿宋_GB2312"/>
          <w:sz w:val="32"/>
          <w:szCs w:val="32"/>
          <w:highlight w:val="none"/>
          <w:shd w:val="clear" w:color="auto" w:fill="FFFFFF"/>
        </w:rPr>
        <w:t>　因见义勇为牺牲并符合革命烈士条件的，由市民政部门申报有关部门批准。</w:t>
      </w:r>
    </w:p>
    <w:p>
      <w:pPr>
        <w:pStyle w:val="7"/>
        <w:widowControl/>
        <w:spacing w:beforeAutospacing="0" w:afterAutospacing="0" w:line="560" w:lineRule="exact"/>
        <w:ind w:firstLine="640"/>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被依法批准为烈士的，其遗属按照有关规定享受烈属待遇。</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w:t>
      </w:r>
      <w:r>
        <w:rPr>
          <w:rFonts w:hint="eastAsia" w:ascii="黑体" w:hAnsi="黑体" w:eastAsia="黑体" w:cs="黑体"/>
          <w:sz w:val="32"/>
          <w:szCs w:val="32"/>
          <w:highlight w:val="none"/>
          <w:shd w:val="clear" w:color="auto" w:fill="FFFFFF"/>
        </w:rPr>
        <w:t>第十四条</w:t>
      </w:r>
      <w:r>
        <w:rPr>
          <w:rFonts w:hint="eastAsia" w:ascii="仿宋_GB2312" w:hAnsi="仿宋_GB2312" w:eastAsia="仿宋_GB2312" w:cs="仿宋_GB2312"/>
          <w:sz w:val="32"/>
          <w:szCs w:val="32"/>
          <w:highlight w:val="none"/>
          <w:shd w:val="clear" w:color="auto" w:fill="FFFFFF"/>
        </w:rPr>
        <w:t>　见义勇为人员的用人单位或者其所属基层组织可以按</w:t>
      </w:r>
      <w:r>
        <w:rPr>
          <w:rFonts w:hint="eastAsia" w:ascii="仿宋_GB2312" w:hAnsi="仿宋_GB2312" w:eastAsia="仿宋_GB2312" w:cs="仿宋_GB2312"/>
          <w:sz w:val="32"/>
          <w:szCs w:val="32"/>
          <w:highlight w:val="none"/>
          <w:shd w:val="clear" w:color="auto" w:fill="FFFFFF"/>
          <w:lang w:val="en-US" w:eastAsia="zh-CN"/>
        </w:rPr>
        <w:t>照</w:t>
      </w:r>
      <w:r>
        <w:rPr>
          <w:rFonts w:hint="eastAsia" w:ascii="仿宋_GB2312" w:hAnsi="仿宋_GB2312" w:eastAsia="仿宋_GB2312" w:cs="仿宋_GB2312"/>
          <w:sz w:val="32"/>
          <w:szCs w:val="32"/>
          <w:highlight w:val="none"/>
          <w:shd w:val="clear" w:color="auto" w:fill="FFFFFF"/>
        </w:rPr>
        <w:t>本规定对见义勇为人员进行表彰或者奖励。</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w:t>
      </w:r>
      <w:r>
        <w:rPr>
          <w:rFonts w:hint="eastAsia" w:ascii="黑体" w:hAnsi="黑体" w:eastAsia="黑体" w:cs="黑体"/>
          <w:sz w:val="32"/>
          <w:szCs w:val="32"/>
          <w:highlight w:val="none"/>
          <w:shd w:val="clear" w:color="auto" w:fill="FFFFFF"/>
        </w:rPr>
        <w:t>第十五条</w:t>
      </w:r>
      <w:r>
        <w:rPr>
          <w:rFonts w:hint="eastAsia" w:ascii="仿宋_GB2312" w:hAnsi="仿宋_GB2312" w:eastAsia="仿宋_GB2312" w:cs="仿宋_GB2312"/>
          <w:sz w:val="32"/>
          <w:szCs w:val="32"/>
          <w:highlight w:val="none"/>
          <w:shd w:val="clear" w:color="auto" w:fill="FFFFFF"/>
        </w:rPr>
        <w:t>　奖励见义勇为人员应当公开进行，但</w:t>
      </w:r>
      <w:r>
        <w:rPr>
          <w:rFonts w:hint="eastAsia" w:ascii="仿宋_GB2312" w:hAnsi="仿宋_GB2312" w:eastAsia="仿宋_GB2312" w:cs="仿宋_GB2312"/>
          <w:sz w:val="32"/>
          <w:szCs w:val="32"/>
          <w:highlight w:val="none"/>
          <w:shd w:val="clear" w:color="auto" w:fill="FFFFFF"/>
          <w:lang w:val="en-US" w:eastAsia="zh-CN"/>
        </w:rPr>
        <w:t>是</w:t>
      </w:r>
      <w:r>
        <w:rPr>
          <w:rFonts w:hint="eastAsia" w:ascii="仿宋_GB2312" w:hAnsi="仿宋_GB2312" w:eastAsia="仿宋_GB2312" w:cs="仿宋_GB2312"/>
          <w:sz w:val="32"/>
          <w:szCs w:val="32"/>
          <w:highlight w:val="none"/>
          <w:shd w:val="clear" w:color="auto" w:fill="FFFFFF"/>
        </w:rPr>
        <w:t>被奖励人员要求保密或者有关部门认为应当保密的除外。</w:t>
      </w:r>
    </w:p>
    <w:p>
      <w:pPr>
        <w:pStyle w:val="7"/>
        <w:widowControl/>
        <w:spacing w:beforeAutospacing="0" w:afterAutospacing="0" w:line="560" w:lineRule="exact"/>
        <w:ind w:firstLine="640"/>
        <w:jc w:val="both"/>
        <w:rPr>
          <w:rFonts w:ascii="仿宋_GB2312" w:hAnsi="仿宋_GB2312" w:eastAsia="仿宋_GB2312" w:cs="仿宋_GB2312"/>
          <w:sz w:val="32"/>
          <w:szCs w:val="32"/>
          <w:highlight w:val="none"/>
          <w:shd w:val="clear" w:color="auto" w:fill="FFFFFF"/>
        </w:rPr>
      </w:pPr>
      <w:r>
        <w:rPr>
          <w:rFonts w:hint="eastAsia" w:ascii="黑体" w:hAnsi="黑体" w:eastAsia="黑体" w:cs="黑体"/>
          <w:sz w:val="32"/>
          <w:szCs w:val="32"/>
          <w:highlight w:val="none"/>
          <w:shd w:val="clear" w:color="auto" w:fill="FFFFFF"/>
        </w:rPr>
        <w:t>第十六条</w:t>
      </w:r>
      <w:r>
        <w:rPr>
          <w:rFonts w:hint="eastAsia" w:ascii="仿宋_GB2312" w:hAnsi="仿宋_GB2312" w:eastAsia="仿宋_GB2312" w:cs="仿宋_GB2312"/>
          <w:sz w:val="32"/>
          <w:szCs w:val="32"/>
          <w:highlight w:val="none"/>
          <w:shd w:val="clear" w:color="auto" w:fill="FFFFFF"/>
        </w:rPr>
        <w:t>　新闻</w:t>
      </w:r>
      <w:r>
        <w:rPr>
          <w:rFonts w:hint="eastAsia" w:ascii="仿宋_GB2312" w:hAnsi="仿宋_GB2312" w:eastAsia="仿宋_GB2312" w:cs="仿宋_GB2312"/>
          <w:sz w:val="32"/>
          <w:szCs w:val="32"/>
          <w:highlight w:val="none"/>
          <w:shd w:val="clear" w:color="auto" w:fill="FFFFFF"/>
          <w:lang w:val="en-US" w:eastAsia="zh-CN"/>
        </w:rPr>
        <w:t>出版</w:t>
      </w:r>
      <w:r>
        <w:rPr>
          <w:rFonts w:hint="eastAsia" w:ascii="仿宋_GB2312" w:hAnsi="仿宋_GB2312" w:eastAsia="仿宋_GB2312" w:cs="仿宋_GB2312"/>
          <w:sz w:val="32"/>
          <w:szCs w:val="32"/>
          <w:highlight w:val="none"/>
          <w:shd w:val="clear" w:color="auto" w:fill="FFFFFF"/>
        </w:rPr>
        <w:t>部门应当大力宣传见义勇为事迹，及时报道奖励和保护见义勇为人员的有关活动。</w:t>
      </w:r>
    </w:p>
    <w:p>
      <w:pPr>
        <w:pStyle w:val="7"/>
        <w:widowControl/>
        <w:spacing w:beforeAutospacing="0" w:afterAutospacing="0" w:line="560" w:lineRule="exact"/>
        <w:ind w:firstLine="640"/>
        <w:jc w:val="both"/>
        <w:rPr>
          <w:rFonts w:ascii="仿宋_GB2312" w:hAnsi="仿宋_GB2312" w:eastAsia="仿宋_GB2312" w:cs="仿宋_GB2312"/>
          <w:sz w:val="32"/>
          <w:szCs w:val="32"/>
          <w:highlight w:val="none"/>
          <w:shd w:val="clear" w:color="auto" w:fill="FFFFFF"/>
        </w:rPr>
      </w:pPr>
    </w:p>
    <w:p>
      <w:pPr>
        <w:widowControl/>
        <w:numPr>
          <w:ilvl w:val="0"/>
          <w:numId w:val="1"/>
        </w:numPr>
        <w:shd w:val="clear" w:color="auto" w:fill="auto"/>
        <w:spacing w:line="560" w:lineRule="exact"/>
        <w:ind w:left="0"/>
        <w:jc w:val="center"/>
        <w:rPr>
          <w:rFonts w:ascii="黑体" w:hAnsi="黑体" w:eastAsia="黑体" w:cs="黑体"/>
          <w:kern w:val="0"/>
          <w:sz w:val="32"/>
          <w:szCs w:val="32"/>
          <w:highlight w:val="none"/>
          <w:shd w:val="clear" w:color="auto" w:fill="FFFFFF"/>
          <w:lang w:bidi="ar"/>
        </w:rPr>
      </w:pPr>
      <w:r>
        <w:rPr>
          <w:rFonts w:hint="eastAsia" w:ascii="黑体" w:hAnsi="黑体" w:eastAsia="黑体" w:cs="黑体"/>
          <w:kern w:val="0"/>
          <w:sz w:val="32"/>
          <w:szCs w:val="32"/>
          <w:highlight w:val="none"/>
          <w:shd w:val="clear" w:color="auto" w:fill="FFFFFF"/>
          <w:lang w:bidi="ar"/>
        </w:rPr>
        <w:t>保护</w:t>
      </w:r>
    </w:p>
    <w:p>
      <w:pPr>
        <w:widowControl/>
        <w:shd w:val="clear" w:color="auto" w:fill="auto"/>
        <w:spacing w:line="560" w:lineRule="exact"/>
        <w:rPr>
          <w:rFonts w:ascii="黑体" w:hAnsi="黑体" w:eastAsia="黑体" w:cs="黑体"/>
          <w:kern w:val="0"/>
          <w:sz w:val="32"/>
          <w:szCs w:val="32"/>
          <w:highlight w:val="none"/>
          <w:shd w:val="clear" w:color="auto" w:fill="FFFFFF"/>
          <w:lang w:bidi="ar"/>
        </w:rPr>
      </w:pPr>
    </w:p>
    <w:p>
      <w:pPr>
        <w:pStyle w:val="7"/>
        <w:widowControl/>
        <w:spacing w:beforeAutospacing="0" w:afterAutospacing="0" w:line="560" w:lineRule="exact"/>
        <w:ind w:firstLine="640"/>
        <w:jc w:val="both"/>
        <w:rPr>
          <w:rFonts w:ascii="仿宋_GB2312" w:hAnsi="仿宋_GB2312" w:eastAsia="仿宋_GB2312" w:cs="仿宋_GB2312"/>
          <w:sz w:val="32"/>
          <w:szCs w:val="32"/>
          <w:highlight w:val="none"/>
          <w:shd w:val="clear" w:color="auto" w:fill="FFFFFF"/>
        </w:rPr>
      </w:pPr>
      <w:r>
        <w:rPr>
          <w:rFonts w:hint="eastAsia" w:ascii="黑体" w:hAnsi="黑体" w:eastAsia="黑体" w:cs="黑体"/>
          <w:sz w:val="32"/>
          <w:szCs w:val="32"/>
          <w:highlight w:val="none"/>
          <w:shd w:val="clear" w:color="auto" w:fill="FFFFFF"/>
        </w:rPr>
        <w:t>第十七条　</w:t>
      </w:r>
      <w:r>
        <w:rPr>
          <w:rFonts w:hint="eastAsia" w:ascii="仿宋_GB2312" w:hAnsi="仿宋_GB2312" w:eastAsia="仿宋_GB2312" w:cs="仿宋_GB2312"/>
          <w:sz w:val="32"/>
          <w:szCs w:val="32"/>
          <w:highlight w:val="none"/>
          <w:shd w:val="clear" w:color="auto" w:fill="FFFFFF"/>
        </w:rPr>
        <w:t>见义勇为人员的医疗费、误工费及丧葬费，依法由加害人承担，但</w:t>
      </w:r>
      <w:r>
        <w:rPr>
          <w:rFonts w:hint="eastAsia" w:ascii="仿宋_GB2312" w:hAnsi="仿宋_GB2312" w:eastAsia="仿宋_GB2312" w:cs="仿宋_GB2312"/>
          <w:sz w:val="32"/>
          <w:szCs w:val="32"/>
          <w:highlight w:val="none"/>
          <w:shd w:val="clear" w:color="auto" w:fill="FFFFFF"/>
          <w:lang w:val="en-US" w:eastAsia="zh-CN"/>
        </w:rPr>
        <w:t>是</w:t>
      </w:r>
      <w:r>
        <w:rPr>
          <w:rFonts w:hint="eastAsia" w:ascii="仿宋_GB2312" w:hAnsi="仿宋_GB2312" w:eastAsia="仿宋_GB2312" w:cs="仿宋_GB2312"/>
          <w:sz w:val="32"/>
          <w:szCs w:val="32"/>
          <w:highlight w:val="none"/>
          <w:shd w:val="clear" w:color="auto" w:fill="FFFFFF"/>
        </w:rPr>
        <w:t>有关单位和部门应当按照本条例的规定先行支付。</w:t>
      </w:r>
    </w:p>
    <w:p>
      <w:pPr>
        <w:pStyle w:val="7"/>
        <w:widowControl/>
        <w:spacing w:beforeAutospacing="0" w:afterAutospacing="0" w:line="560" w:lineRule="exact"/>
        <w:ind w:firstLine="640"/>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先行支付单位依法享有对加害人的追偿权。</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w:t>
      </w:r>
      <w:r>
        <w:rPr>
          <w:rFonts w:hint="eastAsia" w:ascii="黑体" w:hAnsi="黑体" w:eastAsia="黑体" w:cs="黑体"/>
          <w:sz w:val="32"/>
          <w:szCs w:val="32"/>
          <w:highlight w:val="none"/>
          <w:shd w:val="clear" w:color="auto" w:fill="FFFFFF"/>
        </w:rPr>
        <w:t>第十八条</w:t>
      </w:r>
      <w:r>
        <w:rPr>
          <w:rFonts w:hint="eastAsia" w:ascii="仿宋_GB2312" w:hAnsi="仿宋_GB2312" w:eastAsia="仿宋_GB2312" w:cs="仿宋_GB2312"/>
          <w:sz w:val="32"/>
          <w:szCs w:val="32"/>
          <w:highlight w:val="none"/>
          <w:shd w:val="clear" w:color="auto" w:fill="FFFFFF"/>
        </w:rPr>
        <w:t>　各医疗卫生机构对见义勇为负伤的人员应当优先抢救和治疗，不得推诿或者拒绝。</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w:t>
      </w:r>
      <w:r>
        <w:rPr>
          <w:rFonts w:hint="eastAsia" w:ascii="黑体" w:hAnsi="黑体" w:eastAsia="黑体" w:cs="黑体"/>
          <w:sz w:val="32"/>
          <w:szCs w:val="32"/>
          <w:highlight w:val="none"/>
          <w:shd w:val="clear" w:color="auto" w:fill="FFFFFF"/>
        </w:rPr>
        <w:t>第十九条</w:t>
      </w:r>
      <w:r>
        <w:rPr>
          <w:rFonts w:hint="eastAsia" w:ascii="仿宋_GB2312" w:hAnsi="仿宋_GB2312" w:eastAsia="仿宋_GB2312" w:cs="仿宋_GB2312"/>
          <w:sz w:val="32"/>
          <w:szCs w:val="32"/>
          <w:highlight w:val="none"/>
          <w:shd w:val="clear" w:color="auto" w:fill="FFFFFF"/>
        </w:rPr>
        <w:t>　因见义勇为负伤人员的医疗费用按</w:t>
      </w:r>
      <w:r>
        <w:rPr>
          <w:rFonts w:hint="eastAsia" w:ascii="仿宋_GB2312" w:hAnsi="仿宋_GB2312" w:eastAsia="仿宋_GB2312" w:cs="仿宋_GB2312"/>
          <w:sz w:val="32"/>
          <w:szCs w:val="32"/>
          <w:highlight w:val="none"/>
          <w:shd w:val="clear" w:color="auto" w:fill="FFFFFF"/>
          <w:lang w:val="en-US" w:eastAsia="zh-CN"/>
        </w:rPr>
        <w:t>照</w:t>
      </w:r>
      <w:r>
        <w:rPr>
          <w:rFonts w:hint="eastAsia" w:ascii="仿宋_GB2312" w:hAnsi="仿宋_GB2312" w:eastAsia="仿宋_GB2312" w:cs="仿宋_GB2312"/>
          <w:sz w:val="32"/>
          <w:szCs w:val="32"/>
          <w:highlight w:val="none"/>
          <w:shd w:val="clear" w:color="auto" w:fill="FFFFFF"/>
        </w:rPr>
        <w:t>下列方式先行支付：</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(一)见义勇为人员用人单位参加工伤保险的，由社会保险机构按</w:t>
      </w:r>
      <w:r>
        <w:rPr>
          <w:rFonts w:hint="eastAsia" w:ascii="仿宋_GB2312" w:hAnsi="仿宋_GB2312" w:eastAsia="仿宋_GB2312" w:cs="仿宋_GB2312"/>
          <w:sz w:val="32"/>
          <w:szCs w:val="32"/>
          <w:highlight w:val="none"/>
          <w:shd w:val="clear" w:color="auto" w:fill="FFFFFF"/>
          <w:lang w:val="en-US" w:eastAsia="zh-CN"/>
        </w:rPr>
        <w:t>照</w:t>
      </w:r>
      <w:r>
        <w:rPr>
          <w:rFonts w:hint="eastAsia" w:ascii="仿宋_GB2312" w:hAnsi="仿宋_GB2312" w:eastAsia="仿宋_GB2312" w:cs="仿宋_GB2312"/>
          <w:sz w:val="32"/>
          <w:szCs w:val="32"/>
          <w:highlight w:val="none"/>
          <w:shd w:val="clear" w:color="auto" w:fill="FFFFFF"/>
        </w:rPr>
        <w:t>工伤保险规定支付，并同时享受工伤保险的其他待遇；</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(二)见义勇为人员参加医疗保险的，由社会保险机构支付；</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(三)其他见义勇为人员，由基金会对医疗机构支付一次性医疗费用补助。医疗费用补助的等级、数额及审批权限由基金会理事会决定。</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w:t>
      </w:r>
      <w:r>
        <w:rPr>
          <w:rFonts w:hint="eastAsia" w:ascii="黑体" w:hAnsi="黑体" w:eastAsia="黑体" w:cs="黑体"/>
          <w:sz w:val="32"/>
          <w:szCs w:val="32"/>
          <w:highlight w:val="none"/>
          <w:shd w:val="clear" w:color="auto" w:fill="FFFFFF"/>
        </w:rPr>
        <w:t>第二十条</w:t>
      </w:r>
      <w:r>
        <w:rPr>
          <w:rFonts w:hint="eastAsia" w:ascii="仿宋_GB2312" w:hAnsi="仿宋_GB2312" w:eastAsia="仿宋_GB2312" w:cs="仿宋_GB2312"/>
          <w:sz w:val="32"/>
          <w:szCs w:val="32"/>
          <w:highlight w:val="none"/>
          <w:shd w:val="clear" w:color="auto" w:fill="FFFFFF"/>
        </w:rPr>
        <w:t>　因见义勇为牺牲人员的丧葬费用，参加工伤保险的，由社会保险机构先行支付；有用人单位的，由该单位先行支付；无用人单位的，由基金会先行支付。</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w:t>
      </w:r>
      <w:r>
        <w:rPr>
          <w:rFonts w:hint="eastAsia" w:ascii="黑体" w:hAnsi="黑体" w:eastAsia="黑体" w:cs="黑体"/>
          <w:sz w:val="32"/>
          <w:szCs w:val="32"/>
          <w:highlight w:val="none"/>
          <w:shd w:val="clear" w:color="auto" w:fill="FFFFFF"/>
        </w:rPr>
        <w:t>　第二十一条　</w:t>
      </w:r>
      <w:r>
        <w:rPr>
          <w:rFonts w:hint="eastAsia" w:ascii="仿宋_GB2312" w:hAnsi="仿宋_GB2312" w:eastAsia="仿宋_GB2312" w:cs="仿宋_GB2312"/>
          <w:sz w:val="32"/>
          <w:szCs w:val="32"/>
          <w:highlight w:val="none"/>
          <w:shd w:val="clear" w:color="auto" w:fill="FFFFFF"/>
        </w:rPr>
        <w:t>因见义勇为负伤的人员在治疗期间应当视为正常出勤，用人单位不得因此扣减其工资、奖金及其他福利待遇。</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w:t>
      </w:r>
      <w:r>
        <w:rPr>
          <w:rFonts w:hint="eastAsia" w:ascii="黑体" w:hAnsi="黑体" w:eastAsia="黑体" w:cs="黑体"/>
          <w:sz w:val="32"/>
          <w:szCs w:val="32"/>
          <w:highlight w:val="none"/>
          <w:shd w:val="clear" w:color="auto" w:fill="FFFFFF"/>
        </w:rPr>
        <w:t>第二十二条　</w:t>
      </w:r>
      <w:r>
        <w:rPr>
          <w:rFonts w:hint="eastAsia" w:ascii="仿宋_GB2312" w:hAnsi="仿宋_GB2312" w:eastAsia="仿宋_GB2312" w:cs="仿宋_GB2312"/>
          <w:sz w:val="32"/>
          <w:szCs w:val="32"/>
          <w:highlight w:val="none"/>
          <w:shd w:val="clear" w:color="auto" w:fill="FFFFFF"/>
        </w:rPr>
        <w:t>因见义勇为致残人员的残废等级，参加工伤保险的，由社会保险机构依法确认；其他人员由民政部门依法确认。</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w:t>
      </w:r>
      <w:r>
        <w:rPr>
          <w:rFonts w:hint="eastAsia" w:ascii="黑体" w:hAnsi="黑体" w:eastAsia="黑体" w:cs="黑体"/>
          <w:sz w:val="32"/>
          <w:szCs w:val="32"/>
          <w:highlight w:val="none"/>
          <w:shd w:val="clear" w:color="auto" w:fill="FFFFFF"/>
        </w:rPr>
        <w:t>第二十三条</w:t>
      </w:r>
      <w:r>
        <w:rPr>
          <w:rFonts w:hint="eastAsia" w:ascii="仿宋_GB2312" w:hAnsi="仿宋_GB2312" w:eastAsia="仿宋_GB2312" w:cs="仿宋_GB2312"/>
          <w:sz w:val="32"/>
          <w:szCs w:val="32"/>
          <w:highlight w:val="none"/>
          <w:shd w:val="clear" w:color="auto" w:fill="FFFFFF"/>
        </w:rPr>
        <w:t>　因见义勇为牺牲人员的抚恤金或者致残人员的慰问金，属国家公职人员或者参加工伤保险的，分别由民政部门或者</w:t>
      </w:r>
      <w:r>
        <w:rPr>
          <w:rFonts w:hint="default" w:ascii="仿宋_GB2312" w:hAnsi="仿宋_GB2312" w:eastAsia="仿宋_GB2312" w:cs="仿宋_GB2312"/>
          <w:sz w:val="32"/>
          <w:szCs w:val="32"/>
          <w:highlight w:val="none"/>
          <w:shd w:val="clear" w:color="auto" w:fill="FFFFFF"/>
          <w:lang w:val="en-US"/>
        </w:rPr>
        <w:t>社会保险机构</w:t>
      </w:r>
      <w:r>
        <w:rPr>
          <w:rFonts w:hint="eastAsia" w:ascii="仿宋_GB2312" w:hAnsi="仿宋_GB2312" w:eastAsia="仿宋_GB2312" w:cs="仿宋_GB2312"/>
          <w:sz w:val="32"/>
          <w:szCs w:val="32"/>
          <w:highlight w:val="none"/>
          <w:shd w:val="clear" w:color="auto" w:fill="FFFFFF"/>
        </w:rPr>
        <w:t>按</w:t>
      </w:r>
      <w:r>
        <w:rPr>
          <w:rFonts w:hint="eastAsia" w:ascii="仿宋_GB2312" w:hAnsi="仿宋_GB2312" w:eastAsia="仿宋_GB2312" w:cs="仿宋_GB2312"/>
          <w:sz w:val="32"/>
          <w:szCs w:val="32"/>
          <w:highlight w:val="none"/>
          <w:shd w:val="clear" w:color="auto" w:fill="FFFFFF"/>
          <w:lang w:val="en-US" w:eastAsia="zh-CN"/>
        </w:rPr>
        <w:t>照</w:t>
      </w:r>
      <w:r>
        <w:rPr>
          <w:rFonts w:hint="eastAsia" w:ascii="仿宋_GB2312" w:hAnsi="仿宋_GB2312" w:eastAsia="仿宋_GB2312" w:cs="仿宋_GB2312"/>
          <w:sz w:val="32"/>
          <w:szCs w:val="32"/>
          <w:highlight w:val="none"/>
          <w:shd w:val="clear" w:color="auto" w:fill="FFFFFF"/>
        </w:rPr>
        <w:t>有关规定支付；其他人员由基金会一次性定额发给。</w:t>
      </w:r>
    </w:p>
    <w:p>
      <w:pPr>
        <w:pStyle w:val="7"/>
        <w:widowControl/>
        <w:spacing w:beforeAutospacing="0" w:afterAutospacing="0" w:line="560" w:lineRule="exact"/>
        <w:ind w:firstLine="665"/>
        <w:jc w:val="both"/>
        <w:rPr>
          <w:rFonts w:ascii="仿宋_GB2312" w:hAnsi="仿宋_GB2312" w:eastAsia="仿宋_GB2312" w:cs="仿宋_GB2312"/>
          <w:sz w:val="32"/>
          <w:szCs w:val="32"/>
          <w:highlight w:val="none"/>
          <w:shd w:val="clear" w:color="auto" w:fill="FFFFFF"/>
        </w:rPr>
      </w:pPr>
      <w:r>
        <w:rPr>
          <w:rFonts w:hint="eastAsia" w:ascii="黑体" w:hAnsi="黑体" w:eastAsia="黑体" w:cs="黑体"/>
          <w:sz w:val="32"/>
          <w:szCs w:val="32"/>
          <w:highlight w:val="none"/>
          <w:shd w:val="clear" w:color="auto" w:fill="FFFFFF"/>
        </w:rPr>
        <w:t>第二十四条　</w:t>
      </w:r>
      <w:r>
        <w:rPr>
          <w:rFonts w:hint="eastAsia" w:ascii="仿宋_GB2312" w:hAnsi="仿宋_GB2312" w:eastAsia="仿宋_GB2312" w:cs="仿宋_GB2312"/>
          <w:sz w:val="32"/>
          <w:szCs w:val="32"/>
          <w:highlight w:val="none"/>
          <w:shd w:val="clear" w:color="auto" w:fill="FFFFFF"/>
        </w:rPr>
        <w:t>因见义勇为致残而不能在本市从事原工作的人员，用人单位应当给予适当调整，并不得因此终止劳动合同或者辞退；在外地工作的，基金会应当出具见义勇为证明，并建议其用人单位给予适当调整和照顾。见义勇为致残人员的工作安排，属于深圳市常住户口的，由民政部门、残疾人联合会或者</w:t>
      </w:r>
      <w:r>
        <w:rPr>
          <w:rFonts w:hint="eastAsia" w:ascii="仿宋_GB2312" w:hAnsi="仿宋_GB2312" w:eastAsia="仿宋_GB2312" w:cs="仿宋_GB2312"/>
          <w:sz w:val="32"/>
          <w:szCs w:val="32"/>
          <w:highlight w:val="none"/>
          <w:shd w:val="clear" w:color="auto" w:fill="FFFFFF"/>
          <w:lang w:val="en-US" w:eastAsia="zh-CN"/>
        </w:rPr>
        <w:t>人力资源保障</w:t>
      </w:r>
      <w:r>
        <w:rPr>
          <w:rFonts w:hint="eastAsia" w:ascii="仿宋_GB2312" w:hAnsi="仿宋_GB2312" w:eastAsia="仿宋_GB2312" w:cs="仿宋_GB2312"/>
          <w:sz w:val="32"/>
          <w:szCs w:val="32"/>
          <w:highlight w:val="none"/>
          <w:shd w:val="clear" w:color="auto" w:fill="FFFFFF"/>
        </w:rPr>
        <w:t>部门负责适当安置。</w:t>
      </w:r>
    </w:p>
    <w:p>
      <w:pPr>
        <w:pStyle w:val="7"/>
        <w:widowControl/>
        <w:spacing w:beforeAutospacing="0" w:afterAutospacing="0" w:line="560" w:lineRule="exact"/>
        <w:ind w:firstLine="665"/>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对见义勇为牺牲人员或者丧失劳动能力的致残人员的配偶、直系亲属的劳动就业，由</w:t>
      </w:r>
      <w:r>
        <w:rPr>
          <w:rFonts w:hint="eastAsia" w:ascii="仿宋_GB2312" w:hAnsi="仿宋_GB2312" w:eastAsia="仿宋_GB2312" w:cs="仿宋_GB2312"/>
          <w:sz w:val="32"/>
          <w:szCs w:val="32"/>
          <w:highlight w:val="none"/>
          <w:shd w:val="clear" w:color="auto" w:fill="FFFFFF"/>
          <w:lang w:val="en-US" w:eastAsia="zh-CN"/>
        </w:rPr>
        <w:t>人力资源保障</w:t>
      </w:r>
      <w:r>
        <w:rPr>
          <w:rFonts w:hint="eastAsia" w:ascii="仿宋_GB2312" w:hAnsi="仿宋_GB2312" w:eastAsia="仿宋_GB2312" w:cs="仿宋_GB2312"/>
          <w:sz w:val="32"/>
          <w:szCs w:val="32"/>
          <w:highlight w:val="none"/>
          <w:shd w:val="clear" w:color="auto" w:fill="FFFFFF"/>
        </w:rPr>
        <w:t>部门在同等条件下优先推荐。</w:t>
      </w:r>
    </w:p>
    <w:p>
      <w:pPr>
        <w:pStyle w:val="7"/>
        <w:widowControl/>
        <w:spacing w:beforeAutospacing="0" w:afterAutospacing="0" w:line="560" w:lineRule="exact"/>
        <w:ind w:firstLine="665"/>
        <w:jc w:val="both"/>
        <w:rPr>
          <w:rFonts w:ascii="仿宋_GB2312" w:hAnsi="仿宋_GB2312" w:eastAsia="仿宋_GB2312" w:cs="仿宋_GB2312"/>
          <w:sz w:val="32"/>
          <w:szCs w:val="32"/>
          <w:highlight w:val="none"/>
          <w:shd w:val="clear" w:color="auto" w:fill="FFFFFF"/>
        </w:rPr>
      </w:pPr>
      <w:r>
        <w:rPr>
          <w:rFonts w:hint="eastAsia" w:ascii="黑体" w:hAnsi="黑体" w:eastAsia="黑体" w:cs="黑体"/>
          <w:sz w:val="32"/>
          <w:szCs w:val="32"/>
          <w:highlight w:val="none"/>
          <w:shd w:val="clear" w:color="auto" w:fill="FFFFFF"/>
        </w:rPr>
        <w:t>第二十五条　</w:t>
      </w:r>
      <w:r>
        <w:rPr>
          <w:rFonts w:hint="eastAsia" w:ascii="仿宋_GB2312" w:hAnsi="仿宋_GB2312" w:eastAsia="仿宋_GB2312" w:cs="仿宋_GB2312"/>
          <w:sz w:val="32"/>
          <w:szCs w:val="32"/>
          <w:highlight w:val="none"/>
          <w:shd w:val="clear" w:color="auto" w:fill="FFFFFF"/>
        </w:rPr>
        <w:t>对协助追捕犯罪嫌疑人或者协助侦破大案的见义勇为人员不宜公开的，基金会及有关部门应当保密。公安、司法机关对需要保护的见义勇为人员及其亲属，应当采取有效措施予以保护。</w:t>
      </w:r>
    </w:p>
    <w:p>
      <w:pPr>
        <w:pStyle w:val="7"/>
        <w:widowControl/>
        <w:spacing w:beforeAutospacing="0" w:afterAutospacing="0" w:line="560" w:lineRule="exact"/>
        <w:ind w:firstLine="665"/>
        <w:jc w:val="both"/>
        <w:rPr>
          <w:rFonts w:ascii="仿宋_GB2312" w:hAnsi="仿宋_GB2312" w:eastAsia="仿宋_GB2312" w:cs="仿宋_GB2312"/>
          <w:sz w:val="32"/>
          <w:szCs w:val="32"/>
          <w:highlight w:val="none"/>
          <w:shd w:val="clear" w:color="auto" w:fill="FFFFFF"/>
        </w:rPr>
      </w:pPr>
    </w:p>
    <w:p>
      <w:pPr>
        <w:widowControl/>
        <w:numPr>
          <w:ilvl w:val="0"/>
          <w:numId w:val="1"/>
        </w:numPr>
        <w:shd w:val="clear" w:color="auto" w:fill="auto"/>
        <w:spacing w:line="560" w:lineRule="exact"/>
        <w:ind w:left="0"/>
        <w:jc w:val="center"/>
        <w:rPr>
          <w:rFonts w:ascii="黑体" w:hAnsi="黑体" w:eastAsia="黑体" w:cs="黑体"/>
          <w:kern w:val="0"/>
          <w:sz w:val="32"/>
          <w:szCs w:val="32"/>
          <w:highlight w:val="none"/>
          <w:shd w:val="clear" w:color="auto" w:fill="FFFFFF"/>
          <w:lang w:bidi="ar"/>
        </w:rPr>
      </w:pPr>
      <w:r>
        <w:rPr>
          <w:rFonts w:hint="eastAsia" w:ascii="黑体" w:hAnsi="黑体" w:eastAsia="黑体" w:cs="黑体"/>
          <w:kern w:val="0"/>
          <w:sz w:val="32"/>
          <w:szCs w:val="32"/>
          <w:highlight w:val="none"/>
          <w:shd w:val="clear" w:color="auto" w:fill="FFFFFF"/>
          <w:lang w:bidi="ar"/>
        </w:rPr>
        <w:t>基金的筹集、使用和管理</w:t>
      </w:r>
    </w:p>
    <w:p>
      <w:pPr>
        <w:widowControl/>
        <w:shd w:val="clear" w:color="auto" w:fill="auto"/>
        <w:spacing w:line="560" w:lineRule="exact"/>
        <w:rPr>
          <w:rFonts w:ascii="黑体" w:hAnsi="黑体" w:eastAsia="黑体" w:cs="黑体"/>
          <w:kern w:val="0"/>
          <w:sz w:val="32"/>
          <w:szCs w:val="32"/>
          <w:highlight w:val="none"/>
          <w:shd w:val="clear" w:color="auto" w:fill="FFFFFF"/>
          <w:lang w:bidi="ar"/>
        </w:rPr>
      </w:pPr>
    </w:p>
    <w:p>
      <w:pPr>
        <w:pStyle w:val="7"/>
        <w:widowControl/>
        <w:spacing w:beforeAutospacing="0" w:afterAutospacing="0" w:line="560" w:lineRule="exact"/>
        <w:ind w:firstLine="640"/>
        <w:jc w:val="both"/>
        <w:rPr>
          <w:rFonts w:ascii="仿宋_GB2312" w:hAnsi="仿宋_GB2312" w:eastAsia="仿宋_GB2312" w:cs="仿宋_GB2312"/>
          <w:sz w:val="32"/>
          <w:szCs w:val="32"/>
          <w:highlight w:val="none"/>
          <w:shd w:val="clear" w:color="auto" w:fill="FFFFFF"/>
        </w:rPr>
      </w:pPr>
      <w:r>
        <w:rPr>
          <w:rFonts w:hint="eastAsia" w:ascii="黑体" w:hAnsi="黑体" w:eastAsia="黑体" w:cs="黑体"/>
          <w:sz w:val="32"/>
          <w:szCs w:val="32"/>
          <w:highlight w:val="none"/>
          <w:shd w:val="clear" w:color="auto" w:fill="FFFFFF"/>
        </w:rPr>
        <w:t>第二十六条</w:t>
      </w:r>
      <w:r>
        <w:rPr>
          <w:rFonts w:hint="eastAsia" w:ascii="仿宋_GB2312" w:hAnsi="仿宋_GB2312" w:eastAsia="仿宋_GB2312" w:cs="仿宋_GB2312"/>
          <w:sz w:val="32"/>
          <w:szCs w:val="32"/>
          <w:highlight w:val="none"/>
          <w:shd w:val="clear" w:color="auto" w:fill="FFFFFF"/>
        </w:rPr>
        <w:t>　基金由基金会依法筹集、使用和管理。其他组织和个人不得筹集。</w:t>
      </w:r>
    </w:p>
    <w:p>
      <w:pPr>
        <w:pStyle w:val="7"/>
        <w:widowControl/>
        <w:spacing w:beforeAutospacing="0" w:afterAutospacing="0" w:line="560" w:lineRule="exact"/>
        <w:ind w:firstLine="640"/>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基金会应当建立、健全基金的使用和管理的规章制度，并由理事会行使基金的使用权和管理权。</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w:t>
      </w:r>
      <w:r>
        <w:rPr>
          <w:rFonts w:hint="eastAsia" w:ascii="黑体" w:hAnsi="黑体" w:eastAsia="黑体" w:cs="黑体"/>
          <w:sz w:val="32"/>
          <w:szCs w:val="32"/>
          <w:highlight w:val="none"/>
          <w:shd w:val="clear" w:color="auto" w:fill="FFFFFF"/>
        </w:rPr>
        <w:t>第二十七条　</w:t>
      </w:r>
      <w:r>
        <w:rPr>
          <w:rFonts w:hint="eastAsia" w:ascii="仿宋_GB2312" w:hAnsi="仿宋_GB2312" w:eastAsia="仿宋_GB2312" w:cs="仿宋_GB2312"/>
          <w:sz w:val="32"/>
          <w:szCs w:val="32"/>
          <w:highlight w:val="none"/>
          <w:shd w:val="clear" w:color="auto" w:fill="FFFFFF"/>
        </w:rPr>
        <w:t>基金通过下列方式筹集：</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(一)国内机关、团体、企业、事业单位及公民个人的捐赠；</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(二)海外华侨、港、澳、台同胞以及外国友好团体和人士的捐赠；</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(三)社会福利基金给予的资助；</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(四)各级人民政府提供的必要资助；</w:t>
      </w:r>
    </w:p>
    <w:p>
      <w:pPr>
        <w:pStyle w:val="7"/>
        <w:widowControl/>
        <w:spacing w:beforeAutospacing="0" w:afterAutospacing="0" w:line="560" w:lineRule="exact"/>
        <w:ind w:firstLine="640"/>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(五)其他合法的方式。　　</w:t>
      </w:r>
    </w:p>
    <w:p>
      <w:pPr>
        <w:pStyle w:val="7"/>
        <w:widowControl/>
        <w:spacing w:beforeAutospacing="0" w:afterAutospacing="0" w:line="560" w:lineRule="exact"/>
        <w:ind w:firstLine="640"/>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凡捐款的单位和人员，基金会可以予以公布和表彰。</w:t>
      </w:r>
    </w:p>
    <w:p>
      <w:pPr>
        <w:pStyle w:val="7"/>
        <w:widowControl/>
        <w:spacing w:beforeAutospacing="0" w:afterAutospacing="0" w:line="560" w:lineRule="exact"/>
        <w:ind w:firstLine="640"/>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对于捐款较多的</w:t>
      </w:r>
      <w:r>
        <w:rPr>
          <w:rFonts w:hint="default" w:ascii="仿宋_GB2312" w:hAnsi="仿宋_GB2312" w:eastAsia="仿宋_GB2312" w:cs="仿宋_GB2312"/>
          <w:sz w:val="32"/>
          <w:szCs w:val="32"/>
          <w:highlight w:val="none"/>
          <w:shd w:val="clear" w:color="auto" w:fill="FFFFFF"/>
          <w:lang w:val="en-US"/>
        </w:rPr>
        <w:t>单位</w:t>
      </w:r>
      <w:r>
        <w:rPr>
          <w:rFonts w:hint="eastAsia" w:ascii="仿宋_GB2312" w:hAnsi="仿宋_GB2312" w:eastAsia="仿宋_GB2312" w:cs="仿宋_GB2312"/>
          <w:sz w:val="32"/>
          <w:szCs w:val="32"/>
          <w:highlight w:val="none"/>
          <w:shd w:val="clear" w:color="auto" w:fill="FFFFFF"/>
        </w:rPr>
        <w:t>或者个人，基金会可以推荐其参加理事会。</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w:t>
      </w:r>
      <w:r>
        <w:rPr>
          <w:rFonts w:hint="eastAsia" w:ascii="黑体" w:hAnsi="黑体" w:eastAsia="黑体" w:cs="黑体"/>
          <w:sz w:val="32"/>
          <w:szCs w:val="32"/>
          <w:highlight w:val="none"/>
          <w:shd w:val="clear" w:color="auto" w:fill="FFFFFF"/>
        </w:rPr>
        <w:t>第二十八条</w:t>
      </w:r>
      <w:r>
        <w:rPr>
          <w:rFonts w:hint="eastAsia" w:ascii="仿宋_GB2312" w:hAnsi="仿宋_GB2312" w:eastAsia="仿宋_GB2312" w:cs="仿宋_GB2312"/>
          <w:sz w:val="32"/>
          <w:szCs w:val="32"/>
          <w:highlight w:val="none"/>
          <w:shd w:val="clear" w:color="auto" w:fill="FFFFFF"/>
        </w:rPr>
        <w:t>　基金主要用于下列用途：</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(一)见义勇为人员的奖金；</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(二)见义勇为人员的医疗费用补助；</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(三)见义勇为人员的丧葬费、抚恤金、慰问费用；</w:t>
      </w:r>
    </w:p>
    <w:p>
      <w:pPr>
        <w:pStyle w:val="7"/>
        <w:widowControl/>
        <w:spacing w:beforeAutospacing="0" w:afterAutospacing="0" w:line="560" w:lineRule="exact"/>
        <w:ind w:firstLine="640"/>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(四)基金会经核定的其他开支。</w:t>
      </w:r>
    </w:p>
    <w:p>
      <w:pPr>
        <w:pStyle w:val="7"/>
        <w:widowControl/>
        <w:spacing w:beforeAutospacing="0" w:afterAutospacing="0" w:line="560" w:lineRule="exact"/>
        <w:ind w:firstLine="640"/>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基金应当专款专用，不得挪作他用。</w:t>
      </w:r>
    </w:p>
    <w:p>
      <w:pPr>
        <w:pStyle w:val="7"/>
        <w:widowControl/>
        <w:spacing w:beforeAutospacing="0" w:afterAutospacing="0" w:line="560" w:lineRule="exact"/>
        <w:ind w:firstLine="640"/>
        <w:jc w:val="both"/>
        <w:rPr>
          <w:rFonts w:hint="eastAsia" w:ascii="仿宋_GB2312" w:hAnsi="仿宋_GB2312" w:eastAsia="仿宋_GB2312" w:cs="仿宋_GB2312"/>
          <w:sz w:val="32"/>
          <w:szCs w:val="32"/>
          <w:highlight w:val="none"/>
          <w:shd w:val="clear" w:color="auto" w:fill="FFFFFF"/>
        </w:rPr>
      </w:pPr>
      <w:r>
        <w:rPr>
          <w:rFonts w:hint="eastAsia" w:ascii="黑体" w:hAnsi="黑体" w:eastAsia="黑体" w:cs="黑体"/>
          <w:sz w:val="32"/>
          <w:szCs w:val="32"/>
          <w:highlight w:val="none"/>
          <w:shd w:val="clear" w:color="auto" w:fill="FFFFFF"/>
        </w:rPr>
        <w:t>第二十九条</w:t>
      </w:r>
      <w:r>
        <w:rPr>
          <w:rFonts w:hint="eastAsia" w:ascii="仿宋_GB2312" w:hAnsi="仿宋_GB2312" w:eastAsia="仿宋_GB2312" w:cs="仿宋_GB2312"/>
          <w:sz w:val="32"/>
          <w:szCs w:val="32"/>
          <w:highlight w:val="none"/>
          <w:shd w:val="clear" w:color="auto" w:fill="FFFFFF"/>
        </w:rPr>
        <w:t>　基金应当在增值额度内开支使用，确需超出增值额度开支的，应当经基金会的理事会全体会议批准。　　</w:t>
      </w:r>
    </w:p>
    <w:p>
      <w:pPr>
        <w:pStyle w:val="7"/>
        <w:widowControl/>
        <w:spacing w:beforeAutospacing="0" w:afterAutospacing="0" w:line="560" w:lineRule="exact"/>
        <w:ind w:firstLine="640"/>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每年度基金增值的结余部分，应当提留一定比例转为本金，其余部分转入下年度使用。提留比例由基金会决定。</w:t>
      </w:r>
    </w:p>
    <w:p>
      <w:pPr>
        <w:pStyle w:val="7"/>
        <w:widowControl/>
        <w:spacing w:beforeAutospacing="0" w:afterAutospacing="0" w:line="560" w:lineRule="exact"/>
        <w:ind w:firstLine="0"/>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w:t>
      </w:r>
      <w:r>
        <w:rPr>
          <w:rFonts w:hint="eastAsia" w:ascii="黑体" w:hAnsi="黑体" w:eastAsia="黑体" w:cs="黑体"/>
          <w:sz w:val="32"/>
          <w:szCs w:val="32"/>
          <w:highlight w:val="none"/>
          <w:shd w:val="clear" w:color="auto" w:fill="FFFFFF"/>
        </w:rPr>
        <w:t>第三十条　</w:t>
      </w:r>
      <w:r>
        <w:rPr>
          <w:rFonts w:hint="eastAsia" w:ascii="仿宋_GB2312" w:hAnsi="仿宋_GB2312" w:eastAsia="仿宋_GB2312" w:cs="仿宋_GB2312"/>
          <w:sz w:val="32"/>
          <w:szCs w:val="32"/>
          <w:highlight w:val="none"/>
          <w:shd w:val="clear" w:color="auto" w:fill="FFFFFF"/>
        </w:rPr>
        <w:t>基金应当以储蓄、购买债券和国家允许的其他安全方式增值。</w:t>
      </w:r>
    </w:p>
    <w:p>
      <w:pPr>
        <w:pStyle w:val="7"/>
        <w:widowControl/>
        <w:spacing w:beforeAutospacing="0" w:afterAutospacing="0" w:line="560" w:lineRule="exact"/>
        <w:ind w:firstLine="640"/>
        <w:jc w:val="both"/>
        <w:rPr>
          <w:rFonts w:ascii="仿宋_GB2312" w:hAnsi="仿宋_GB2312" w:eastAsia="仿宋_GB2312" w:cs="仿宋_GB2312"/>
          <w:sz w:val="32"/>
          <w:szCs w:val="32"/>
          <w:highlight w:val="none"/>
          <w:shd w:val="clear" w:color="auto" w:fill="FFFFFF"/>
        </w:rPr>
      </w:pPr>
      <w:r>
        <w:rPr>
          <w:rFonts w:hint="eastAsia" w:ascii="黑体" w:hAnsi="黑体" w:eastAsia="黑体" w:cs="黑体"/>
          <w:b w:val="0"/>
          <w:i w:val="0"/>
          <w:caps w:val="0"/>
          <w:color w:val="auto"/>
          <w:spacing w:val="0"/>
          <w:sz w:val="32"/>
          <w:szCs w:val="32"/>
          <w:shd w:val="clear" w:fill="FFFFFF"/>
          <w:lang w:val="en-US" w:eastAsia="zh-CN"/>
        </w:rPr>
        <w:t>第三十一条　</w:t>
      </w:r>
      <w:r>
        <w:rPr>
          <w:rFonts w:hint="eastAsia" w:ascii="仿宋_GB2312" w:hAnsi="仿宋_GB2312" w:eastAsia="仿宋_GB2312" w:cs="仿宋_GB2312"/>
          <w:b w:val="0"/>
          <w:i w:val="0"/>
          <w:caps w:val="0"/>
          <w:color w:val="auto"/>
          <w:spacing w:val="0"/>
          <w:sz w:val="32"/>
          <w:szCs w:val="32"/>
          <w:shd w:val="clear" w:fill="FFFFFF"/>
        </w:rPr>
        <w:t>基金会应当接受人民银行、民政等有关部门的监督，并定期向主管部门报送基金收支报表。</w:t>
      </w:r>
    </w:p>
    <w:p>
      <w:pPr>
        <w:widowControl/>
        <w:numPr>
          <w:ilvl w:val="0"/>
          <w:numId w:val="1"/>
        </w:numPr>
        <w:shd w:val="clear" w:color="auto" w:fill="auto"/>
        <w:spacing w:line="560" w:lineRule="exact"/>
        <w:ind w:left="0"/>
        <w:jc w:val="center"/>
        <w:rPr>
          <w:rFonts w:ascii="黑体" w:hAnsi="黑体" w:eastAsia="黑体" w:cs="黑体"/>
          <w:kern w:val="0"/>
          <w:sz w:val="32"/>
          <w:szCs w:val="32"/>
          <w:highlight w:val="none"/>
          <w:shd w:val="clear" w:color="auto" w:fill="FFFFFF"/>
          <w:lang w:bidi="ar"/>
        </w:rPr>
      </w:pPr>
      <w:r>
        <w:rPr>
          <w:rFonts w:hint="eastAsia" w:ascii="黑体" w:hAnsi="黑体" w:eastAsia="黑体" w:cs="黑体"/>
          <w:kern w:val="0"/>
          <w:sz w:val="32"/>
          <w:szCs w:val="32"/>
          <w:highlight w:val="none"/>
          <w:shd w:val="clear" w:color="auto" w:fill="FFFFFF"/>
          <w:lang w:bidi="ar"/>
        </w:rPr>
        <w:t>法律责任</w:t>
      </w:r>
    </w:p>
    <w:p>
      <w:pPr>
        <w:widowControl/>
        <w:shd w:val="clear" w:color="auto" w:fill="auto"/>
        <w:spacing w:line="560" w:lineRule="exact"/>
        <w:rPr>
          <w:rFonts w:ascii="黑体" w:hAnsi="黑体" w:eastAsia="黑体" w:cs="黑体"/>
          <w:kern w:val="0"/>
          <w:sz w:val="32"/>
          <w:szCs w:val="32"/>
          <w:highlight w:val="none"/>
          <w:shd w:val="clear" w:color="auto" w:fill="FFFFFF"/>
          <w:lang w:bidi="ar"/>
        </w:rPr>
      </w:pP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w:t>
      </w:r>
      <w:r>
        <w:rPr>
          <w:rFonts w:hint="eastAsia" w:ascii="黑体" w:hAnsi="黑体" w:eastAsia="黑体" w:cs="黑体"/>
          <w:sz w:val="32"/>
          <w:szCs w:val="32"/>
          <w:highlight w:val="none"/>
          <w:shd w:val="clear" w:color="auto" w:fill="FFFFFF"/>
          <w:lang w:bidi="ar"/>
        </w:rPr>
        <w:t>第三十</w:t>
      </w:r>
      <w:r>
        <w:rPr>
          <w:rFonts w:hint="eastAsia" w:ascii="黑体" w:hAnsi="黑体" w:eastAsia="黑体" w:cs="黑体"/>
          <w:sz w:val="32"/>
          <w:szCs w:val="32"/>
          <w:highlight w:val="none"/>
          <w:shd w:val="clear" w:color="auto" w:fill="FFFFFF"/>
          <w:lang w:val="en-US" w:eastAsia="zh-CN" w:bidi="ar"/>
        </w:rPr>
        <w:t>二</w:t>
      </w:r>
      <w:r>
        <w:rPr>
          <w:rFonts w:hint="eastAsia" w:ascii="黑体" w:hAnsi="黑体" w:eastAsia="黑体" w:cs="黑体"/>
          <w:sz w:val="32"/>
          <w:szCs w:val="32"/>
          <w:highlight w:val="none"/>
          <w:shd w:val="clear" w:color="auto" w:fill="FFFFFF"/>
          <w:lang w:bidi="ar"/>
        </w:rPr>
        <w:t>条</w:t>
      </w:r>
      <w:r>
        <w:rPr>
          <w:rFonts w:hint="eastAsia" w:ascii="仿宋_GB2312" w:hAnsi="仿宋_GB2312" w:eastAsia="仿宋_GB2312" w:cs="仿宋_GB2312"/>
          <w:sz w:val="32"/>
          <w:szCs w:val="32"/>
          <w:highlight w:val="none"/>
          <w:shd w:val="clear" w:color="auto" w:fill="FFFFFF"/>
        </w:rPr>
        <w:t>　违反本条例第十八条规定，拒绝或者拖延抢救见义勇为负伤人员的，由市卫生</w:t>
      </w:r>
      <w:r>
        <w:rPr>
          <w:rFonts w:hint="eastAsia" w:ascii="仿宋_GB2312" w:hAnsi="仿宋_GB2312" w:eastAsia="仿宋_GB2312" w:cs="仿宋_GB2312"/>
          <w:sz w:val="32"/>
          <w:szCs w:val="32"/>
          <w:highlight w:val="none"/>
          <w:shd w:val="clear" w:color="auto" w:fill="FFFFFF"/>
          <w:lang w:val="en-US" w:eastAsia="zh-CN"/>
        </w:rPr>
        <w:t>健康</w:t>
      </w:r>
      <w:r>
        <w:rPr>
          <w:rFonts w:hint="eastAsia" w:ascii="仿宋_GB2312" w:hAnsi="仿宋_GB2312" w:eastAsia="仿宋_GB2312" w:cs="仿宋_GB2312"/>
          <w:sz w:val="32"/>
          <w:szCs w:val="32"/>
          <w:highlight w:val="none"/>
          <w:shd w:val="clear" w:color="auto" w:fill="FFFFFF"/>
        </w:rPr>
        <w:t>部门批评教育，并责令抢救；造成严重后果的，对有关领导和直接责任人员给予处分。</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w:t>
      </w:r>
      <w:r>
        <w:rPr>
          <w:rFonts w:hint="eastAsia" w:ascii="黑体" w:hAnsi="黑体" w:eastAsia="黑体" w:cs="黑体"/>
          <w:sz w:val="32"/>
          <w:szCs w:val="32"/>
          <w:highlight w:val="none"/>
          <w:shd w:val="clear" w:color="auto" w:fill="FFFFFF"/>
          <w:lang w:bidi="ar"/>
        </w:rPr>
        <w:t>第三十</w:t>
      </w:r>
      <w:r>
        <w:rPr>
          <w:rFonts w:hint="eastAsia" w:ascii="黑体" w:hAnsi="黑体" w:eastAsia="黑体" w:cs="黑体"/>
          <w:sz w:val="32"/>
          <w:szCs w:val="32"/>
          <w:highlight w:val="none"/>
          <w:shd w:val="clear" w:color="auto" w:fill="FFFFFF"/>
          <w:lang w:val="en-US" w:eastAsia="zh-CN" w:bidi="ar"/>
        </w:rPr>
        <w:t>三</w:t>
      </w:r>
      <w:r>
        <w:rPr>
          <w:rFonts w:hint="eastAsia" w:ascii="黑体" w:hAnsi="黑体" w:eastAsia="黑体" w:cs="黑体"/>
          <w:sz w:val="32"/>
          <w:szCs w:val="32"/>
          <w:highlight w:val="none"/>
          <w:shd w:val="clear" w:color="auto" w:fill="FFFFFF"/>
          <w:lang w:bidi="ar"/>
        </w:rPr>
        <w:t>条</w:t>
      </w:r>
      <w:r>
        <w:rPr>
          <w:rFonts w:hint="eastAsia" w:ascii="仿宋_GB2312" w:hAnsi="仿宋_GB2312" w:eastAsia="仿宋_GB2312" w:cs="仿宋_GB2312"/>
          <w:sz w:val="32"/>
          <w:szCs w:val="32"/>
          <w:highlight w:val="none"/>
          <w:shd w:val="clear" w:color="auto" w:fill="FFFFFF"/>
        </w:rPr>
        <w:t>　违反本条例第二十一条规定，用人单位扣减见义勇为人员的工资、奖金及其他福利待遇的，由市</w:t>
      </w:r>
      <w:r>
        <w:rPr>
          <w:rFonts w:hint="eastAsia" w:ascii="仿宋_GB2312" w:hAnsi="仿宋_GB2312" w:eastAsia="仿宋_GB2312" w:cs="仿宋_GB2312"/>
          <w:sz w:val="32"/>
          <w:szCs w:val="32"/>
          <w:highlight w:val="none"/>
          <w:shd w:val="clear" w:color="auto" w:fill="FFFFFF"/>
          <w:lang w:val="en-US" w:eastAsia="zh-CN"/>
        </w:rPr>
        <w:t>人力资源保障</w:t>
      </w:r>
      <w:r>
        <w:rPr>
          <w:rFonts w:hint="eastAsia" w:ascii="仿宋_GB2312" w:hAnsi="仿宋_GB2312" w:eastAsia="仿宋_GB2312" w:cs="仿宋_GB2312"/>
          <w:sz w:val="32"/>
          <w:szCs w:val="32"/>
          <w:highlight w:val="none"/>
          <w:shd w:val="clear" w:color="auto" w:fill="FFFFFF"/>
        </w:rPr>
        <w:t>部门进行批评，责令纠正；拒不纠正的，由市</w:t>
      </w:r>
      <w:r>
        <w:rPr>
          <w:rFonts w:hint="eastAsia" w:ascii="仿宋_GB2312" w:hAnsi="仿宋_GB2312" w:eastAsia="仿宋_GB2312" w:cs="仿宋_GB2312"/>
          <w:sz w:val="32"/>
          <w:szCs w:val="32"/>
          <w:highlight w:val="none"/>
          <w:shd w:val="clear" w:color="auto" w:fill="FFFFFF"/>
          <w:lang w:val="en-US" w:eastAsia="zh-CN"/>
        </w:rPr>
        <w:t>人力资源保障</w:t>
      </w:r>
      <w:r>
        <w:rPr>
          <w:rFonts w:hint="eastAsia" w:ascii="仿宋_GB2312" w:hAnsi="仿宋_GB2312" w:eastAsia="仿宋_GB2312" w:cs="仿宋_GB2312"/>
          <w:sz w:val="32"/>
          <w:szCs w:val="32"/>
          <w:highlight w:val="none"/>
          <w:shd w:val="clear" w:color="auto" w:fill="FFFFFF"/>
        </w:rPr>
        <w:t>部门对用人单位处</w:t>
      </w:r>
      <w:r>
        <w:rPr>
          <w:rFonts w:hint="eastAsia" w:ascii="仿宋_GB2312" w:hAnsi="仿宋_GB2312" w:eastAsia="仿宋_GB2312" w:cs="仿宋_GB2312"/>
          <w:sz w:val="32"/>
          <w:szCs w:val="32"/>
          <w:highlight w:val="none"/>
          <w:shd w:val="clear" w:color="auto" w:fill="FFFFFF"/>
          <w:lang w:val="en-US" w:eastAsia="zh-CN"/>
        </w:rPr>
        <w:t>五千</w:t>
      </w:r>
      <w:r>
        <w:rPr>
          <w:rFonts w:hint="eastAsia" w:ascii="仿宋_GB2312" w:hAnsi="仿宋_GB2312" w:eastAsia="仿宋_GB2312" w:cs="仿宋_GB2312"/>
          <w:sz w:val="32"/>
          <w:szCs w:val="32"/>
          <w:highlight w:val="none"/>
          <w:shd w:val="clear" w:color="auto" w:fill="FFFFFF"/>
        </w:rPr>
        <w:t>元罚款。</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w:t>
      </w:r>
      <w:r>
        <w:rPr>
          <w:rFonts w:hint="eastAsia" w:ascii="黑体" w:hAnsi="黑体" w:eastAsia="黑体" w:cs="黑体"/>
          <w:sz w:val="32"/>
          <w:szCs w:val="32"/>
          <w:highlight w:val="none"/>
          <w:shd w:val="clear" w:color="auto" w:fill="FFFFFF"/>
          <w:lang w:bidi="ar"/>
        </w:rPr>
        <w:t>第三十</w:t>
      </w:r>
      <w:r>
        <w:rPr>
          <w:rFonts w:hint="eastAsia" w:ascii="黑体" w:hAnsi="黑体" w:eastAsia="黑体" w:cs="黑体"/>
          <w:sz w:val="32"/>
          <w:szCs w:val="32"/>
          <w:highlight w:val="none"/>
          <w:shd w:val="clear" w:color="auto" w:fill="FFFFFF"/>
          <w:lang w:val="en-US" w:eastAsia="zh-CN" w:bidi="ar"/>
        </w:rPr>
        <w:t>四</w:t>
      </w:r>
      <w:r>
        <w:rPr>
          <w:rFonts w:hint="eastAsia" w:ascii="黑体" w:hAnsi="黑体" w:eastAsia="黑体" w:cs="黑体"/>
          <w:sz w:val="32"/>
          <w:szCs w:val="32"/>
          <w:highlight w:val="none"/>
          <w:shd w:val="clear" w:color="auto" w:fill="FFFFFF"/>
          <w:lang w:bidi="ar"/>
        </w:rPr>
        <w:t>条　</w:t>
      </w:r>
      <w:r>
        <w:rPr>
          <w:rFonts w:hint="eastAsia" w:ascii="仿宋_GB2312" w:hAnsi="仿宋_GB2312" w:eastAsia="仿宋_GB2312" w:cs="仿宋_GB2312"/>
          <w:sz w:val="32"/>
          <w:szCs w:val="32"/>
          <w:highlight w:val="none"/>
          <w:shd w:val="clear" w:color="auto" w:fill="FFFFFF"/>
        </w:rPr>
        <w:t>违反本条例第二十四条规定，用人单位对见义勇为致残人员的工作不进行适当调整的，市</w:t>
      </w:r>
      <w:r>
        <w:rPr>
          <w:rFonts w:hint="eastAsia" w:ascii="仿宋_GB2312" w:hAnsi="仿宋_GB2312" w:eastAsia="仿宋_GB2312" w:cs="仿宋_GB2312"/>
          <w:sz w:val="32"/>
          <w:szCs w:val="32"/>
          <w:highlight w:val="none"/>
          <w:shd w:val="clear" w:color="auto" w:fill="FFFFFF"/>
          <w:lang w:val="en-US" w:eastAsia="zh-CN"/>
        </w:rPr>
        <w:t>人力资源保障部门</w:t>
      </w:r>
      <w:r>
        <w:rPr>
          <w:rFonts w:hint="eastAsia" w:ascii="仿宋_GB2312" w:hAnsi="仿宋_GB2312" w:eastAsia="仿宋_GB2312" w:cs="仿宋_GB2312"/>
          <w:sz w:val="32"/>
          <w:szCs w:val="32"/>
          <w:highlight w:val="none"/>
          <w:shd w:val="clear" w:color="auto" w:fill="FFFFFF"/>
        </w:rPr>
        <w:t>应当进行批评，责令纠正；因此终止劳动合同或者辞退的，应当责令其继续履行合同；拒不履行的，由市</w:t>
      </w:r>
      <w:r>
        <w:rPr>
          <w:rFonts w:hint="eastAsia" w:ascii="仿宋_GB2312" w:hAnsi="仿宋_GB2312" w:eastAsia="仿宋_GB2312" w:cs="仿宋_GB2312"/>
          <w:sz w:val="32"/>
          <w:szCs w:val="32"/>
          <w:highlight w:val="none"/>
          <w:shd w:val="clear" w:color="auto" w:fill="FFFFFF"/>
          <w:lang w:val="en-US" w:eastAsia="zh-CN"/>
        </w:rPr>
        <w:t>人力资源保障</w:t>
      </w:r>
      <w:r>
        <w:rPr>
          <w:rFonts w:hint="eastAsia" w:ascii="仿宋_GB2312" w:hAnsi="仿宋_GB2312" w:eastAsia="仿宋_GB2312" w:cs="仿宋_GB2312"/>
          <w:sz w:val="32"/>
          <w:szCs w:val="32"/>
          <w:highlight w:val="none"/>
          <w:shd w:val="clear" w:color="auto" w:fill="FFFFFF"/>
        </w:rPr>
        <w:t>部门根据情况，责令其对见义勇为人员一次性支付</w:t>
      </w:r>
      <w:r>
        <w:rPr>
          <w:rFonts w:hint="eastAsia" w:ascii="仿宋_GB2312" w:hAnsi="仿宋_GB2312" w:eastAsia="仿宋_GB2312" w:cs="仿宋_GB2312"/>
          <w:sz w:val="32"/>
          <w:szCs w:val="32"/>
          <w:highlight w:val="none"/>
          <w:shd w:val="clear" w:color="auto" w:fill="FFFFFF"/>
          <w:lang w:val="en-US" w:eastAsia="zh-CN"/>
        </w:rPr>
        <w:t>二万</w:t>
      </w:r>
      <w:r>
        <w:rPr>
          <w:rFonts w:hint="eastAsia" w:ascii="仿宋_GB2312" w:hAnsi="仿宋_GB2312" w:eastAsia="仿宋_GB2312" w:cs="仿宋_GB2312"/>
          <w:sz w:val="32"/>
          <w:szCs w:val="32"/>
          <w:highlight w:val="none"/>
          <w:shd w:val="clear" w:color="auto" w:fill="FFFFFF"/>
        </w:rPr>
        <w:t>元以上补偿费。</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w:t>
      </w:r>
      <w:r>
        <w:rPr>
          <w:rFonts w:hint="eastAsia" w:ascii="黑体" w:hAnsi="黑体" w:eastAsia="黑体" w:cs="黑体"/>
          <w:sz w:val="32"/>
          <w:szCs w:val="32"/>
          <w:highlight w:val="none"/>
          <w:shd w:val="clear" w:color="auto" w:fill="FFFFFF"/>
          <w:lang w:bidi="ar"/>
        </w:rPr>
        <w:t>第三十</w:t>
      </w:r>
      <w:r>
        <w:rPr>
          <w:rFonts w:hint="eastAsia" w:ascii="黑体" w:hAnsi="黑体" w:eastAsia="黑体" w:cs="黑体"/>
          <w:sz w:val="32"/>
          <w:szCs w:val="32"/>
          <w:highlight w:val="none"/>
          <w:shd w:val="clear" w:color="auto" w:fill="FFFFFF"/>
          <w:lang w:val="en-US" w:eastAsia="zh-CN" w:bidi="ar"/>
        </w:rPr>
        <w:t>五</w:t>
      </w:r>
      <w:r>
        <w:rPr>
          <w:rFonts w:hint="eastAsia" w:ascii="黑体" w:hAnsi="黑体" w:eastAsia="黑体" w:cs="黑体"/>
          <w:sz w:val="32"/>
          <w:szCs w:val="32"/>
          <w:highlight w:val="none"/>
          <w:shd w:val="clear" w:color="auto" w:fill="FFFFFF"/>
          <w:lang w:bidi="ar"/>
        </w:rPr>
        <w:t>条</w:t>
      </w:r>
      <w:r>
        <w:rPr>
          <w:rFonts w:hint="eastAsia" w:ascii="仿宋_GB2312" w:hAnsi="仿宋_GB2312" w:eastAsia="仿宋_GB2312" w:cs="仿宋_GB2312"/>
          <w:sz w:val="32"/>
          <w:szCs w:val="32"/>
          <w:highlight w:val="none"/>
          <w:shd w:val="clear" w:color="auto" w:fill="FFFFFF"/>
        </w:rPr>
        <w:t>　违反本条例第二十五条规定，对举报犯罪、追捕逃犯的见义勇为人员应当保密而不保密，或者对需要保护的见义勇为人员及其亲属未采取有效措施予以保护，造成严重后果的，由有关部门依法追究有关领导和直接责任人员的责任，构成犯罪的，依法追究刑事责任。</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w:t>
      </w:r>
      <w:r>
        <w:rPr>
          <w:rFonts w:hint="eastAsia" w:ascii="黑体" w:hAnsi="黑体" w:eastAsia="黑体" w:cs="黑体"/>
          <w:sz w:val="32"/>
          <w:szCs w:val="32"/>
          <w:highlight w:val="none"/>
          <w:shd w:val="clear" w:color="auto" w:fill="FFFFFF"/>
          <w:lang w:bidi="ar"/>
        </w:rPr>
        <w:t>第三十</w:t>
      </w:r>
      <w:r>
        <w:rPr>
          <w:rFonts w:hint="eastAsia" w:ascii="黑体" w:hAnsi="黑体" w:eastAsia="黑体" w:cs="黑体"/>
          <w:sz w:val="32"/>
          <w:szCs w:val="32"/>
          <w:highlight w:val="none"/>
          <w:shd w:val="clear" w:color="auto" w:fill="FFFFFF"/>
          <w:lang w:val="en-US" w:eastAsia="zh-CN" w:bidi="ar"/>
        </w:rPr>
        <w:t>六</w:t>
      </w:r>
      <w:r>
        <w:rPr>
          <w:rFonts w:hint="eastAsia" w:ascii="黑体" w:hAnsi="黑体" w:eastAsia="黑体" w:cs="黑体"/>
          <w:sz w:val="32"/>
          <w:szCs w:val="32"/>
          <w:highlight w:val="none"/>
          <w:shd w:val="clear" w:color="auto" w:fill="FFFFFF"/>
          <w:lang w:bidi="ar"/>
        </w:rPr>
        <w:t>条　</w:t>
      </w:r>
      <w:r>
        <w:rPr>
          <w:rFonts w:hint="eastAsia" w:ascii="仿宋_GB2312" w:hAnsi="仿宋_GB2312" w:eastAsia="仿宋_GB2312" w:cs="仿宋_GB2312"/>
          <w:sz w:val="32"/>
          <w:szCs w:val="32"/>
          <w:highlight w:val="none"/>
          <w:shd w:val="clear" w:color="auto" w:fill="FFFFFF"/>
        </w:rPr>
        <w:t>违反本条例第二十六条第一款规定，违法筹集基金的，由</w:t>
      </w:r>
      <w:r>
        <w:rPr>
          <w:rFonts w:hint="eastAsia" w:ascii="仿宋_GB2312" w:hAnsi="仿宋_GB2312" w:eastAsia="仿宋_GB2312" w:cs="仿宋_GB2312"/>
          <w:b w:val="0"/>
          <w:i w:val="0"/>
          <w:iCs w:val="0"/>
          <w:caps w:val="0"/>
          <w:color w:val="auto"/>
          <w:spacing w:val="0"/>
          <w:sz w:val="32"/>
          <w:szCs w:val="32"/>
          <w:highlight w:val="none"/>
          <w:u w:val="none"/>
          <w:shd w:val="clear" w:fill="FFFFFF"/>
        </w:rPr>
        <w:t>市人民银行</w:t>
      </w:r>
      <w:r>
        <w:rPr>
          <w:rFonts w:hint="eastAsia" w:ascii="仿宋_GB2312" w:hAnsi="仿宋_GB2312" w:eastAsia="仿宋_GB2312" w:cs="仿宋_GB2312"/>
          <w:sz w:val="32"/>
          <w:szCs w:val="32"/>
          <w:highlight w:val="none"/>
          <w:shd w:val="clear" w:color="auto" w:fill="FFFFFF"/>
        </w:rPr>
        <w:t>责令停止非法筹集活动，没收其非法筹集的款项，按</w:t>
      </w:r>
      <w:r>
        <w:rPr>
          <w:rFonts w:hint="eastAsia" w:ascii="仿宋_GB2312" w:hAnsi="仿宋_GB2312" w:eastAsia="仿宋_GB2312" w:cs="仿宋_GB2312"/>
          <w:sz w:val="32"/>
          <w:szCs w:val="32"/>
          <w:highlight w:val="none"/>
          <w:shd w:val="clear" w:color="auto" w:fill="FFFFFF"/>
          <w:lang w:val="en-US" w:eastAsia="zh-CN"/>
        </w:rPr>
        <w:t>照</w:t>
      </w:r>
      <w:r>
        <w:rPr>
          <w:rFonts w:hint="eastAsia" w:ascii="仿宋_GB2312" w:hAnsi="仿宋_GB2312" w:eastAsia="仿宋_GB2312" w:cs="仿宋_GB2312"/>
          <w:sz w:val="32"/>
          <w:szCs w:val="32"/>
          <w:highlight w:val="none"/>
          <w:shd w:val="clear" w:color="auto" w:fill="FFFFFF"/>
        </w:rPr>
        <w:t>有关规定处以罚款，并由有关部门依法追究责任人员的责任，构成犯罪的，依法追究刑事责任。</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w:t>
      </w:r>
      <w:r>
        <w:rPr>
          <w:rFonts w:hint="eastAsia" w:ascii="黑体" w:hAnsi="黑体" w:eastAsia="黑体" w:cs="黑体"/>
          <w:sz w:val="32"/>
          <w:szCs w:val="32"/>
          <w:highlight w:val="none"/>
          <w:shd w:val="clear" w:color="auto" w:fill="FFFFFF"/>
          <w:lang w:bidi="ar"/>
        </w:rPr>
        <w:t>第三十</w:t>
      </w:r>
      <w:r>
        <w:rPr>
          <w:rFonts w:hint="eastAsia" w:ascii="黑体" w:hAnsi="黑体" w:eastAsia="黑体" w:cs="黑体"/>
          <w:sz w:val="32"/>
          <w:szCs w:val="32"/>
          <w:highlight w:val="none"/>
          <w:shd w:val="clear" w:color="auto" w:fill="FFFFFF"/>
          <w:lang w:val="en-US" w:eastAsia="zh-CN" w:bidi="ar"/>
        </w:rPr>
        <w:t>七</w:t>
      </w:r>
      <w:r>
        <w:rPr>
          <w:rFonts w:hint="eastAsia" w:ascii="黑体" w:hAnsi="黑体" w:eastAsia="黑体" w:cs="黑体"/>
          <w:sz w:val="32"/>
          <w:szCs w:val="32"/>
          <w:highlight w:val="none"/>
          <w:shd w:val="clear" w:color="auto" w:fill="FFFFFF"/>
          <w:lang w:bidi="ar"/>
        </w:rPr>
        <w:t>条　</w:t>
      </w:r>
      <w:r>
        <w:rPr>
          <w:rFonts w:hint="eastAsia" w:ascii="仿宋_GB2312" w:hAnsi="仿宋_GB2312" w:eastAsia="仿宋_GB2312" w:cs="仿宋_GB2312"/>
          <w:sz w:val="32"/>
          <w:szCs w:val="32"/>
          <w:highlight w:val="none"/>
          <w:shd w:val="clear" w:color="auto" w:fill="FFFFFF"/>
        </w:rPr>
        <w:t>违反本条例第二十八条第二款规定，将基金挪作他用的，由</w:t>
      </w:r>
      <w:r>
        <w:rPr>
          <w:rFonts w:hint="eastAsia" w:ascii="仿宋_GB2312" w:hAnsi="仿宋_GB2312" w:eastAsia="仿宋_GB2312" w:cs="仿宋_GB2312"/>
          <w:b w:val="0"/>
          <w:i w:val="0"/>
          <w:iCs w:val="0"/>
          <w:caps w:val="0"/>
          <w:color w:val="auto"/>
          <w:spacing w:val="0"/>
          <w:sz w:val="32"/>
          <w:szCs w:val="32"/>
          <w:highlight w:val="none"/>
          <w:u w:val="none"/>
          <w:shd w:val="clear" w:fill="FFFFFF"/>
        </w:rPr>
        <w:t>主管部门</w:t>
      </w:r>
      <w:r>
        <w:rPr>
          <w:rFonts w:hint="eastAsia" w:ascii="仿宋_GB2312" w:hAnsi="仿宋_GB2312" w:eastAsia="仿宋_GB2312" w:cs="仿宋_GB2312"/>
          <w:sz w:val="32"/>
          <w:szCs w:val="32"/>
          <w:highlight w:val="none"/>
          <w:shd w:val="clear" w:color="auto" w:fill="FFFFFF"/>
        </w:rPr>
        <w:t>责令纠正，并对基金会主要负责人和直接责任人员给予处分，构成犯罪的，依法追究刑事责任。</w:t>
      </w:r>
    </w:p>
    <w:p>
      <w:pPr>
        <w:pStyle w:val="7"/>
        <w:widowControl/>
        <w:spacing w:beforeAutospacing="0" w:afterAutospacing="0" w:line="560" w:lineRule="exact"/>
        <w:jc w:val="both"/>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　　</w:t>
      </w:r>
      <w:r>
        <w:rPr>
          <w:rFonts w:hint="eastAsia" w:ascii="黑体" w:hAnsi="黑体" w:eastAsia="黑体" w:cs="黑体"/>
          <w:sz w:val="32"/>
          <w:szCs w:val="32"/>
          <w:highlight w:val="none"/>
          <w:shd w:val="clear" w:color="auto" w:fill="FFFFFF"/>
          <w:lang w:bidi="ar"/>
        </w:rPr>
        <w:t>第三十</w:t>
      </w:r>
      <w:r>
        <w:rPr>
          <w:rFonts w:hint="eastAsia" w:ascii="黑体" w:hAnsi="黑体" w:eastAsia="黑体" w:cs="黑体"/>
          <w:sz w:val="32"/>
          <w:szCs w:val="32"/>
          <w:highlight w:val="none"/>
          <w:shd w:val="clear" w:color="auto" w:fill="FFFFFF"/>
          <w:lang w:val="en-US" w:eastAsia="zh-CN" w:bidi="ar"/>
        </w:rPr>
        <w:t>八</w:t>
      </w:r>
      <w:r>
        <w:rPr>
          <w:rFonts w:hint="eastAsia" w:ascii="黑体" w:hAnsi="黑体" w:eastAsia="黑体" w:cs="黑体"/>
          <w:sz w:val="32"/>
          <w:szCs w:val="32"/>
          <w:highlight w:val="none"/>
          <w:shd w:val="clear" w:color="auto" w:fill="FFFFFF"/>
          <w:lang w:bidi="ar"/>
        </w:rPr>
        <w:t>条</w:t>
      </w:r>
      <w:r>
        <w:rPr>
          <w:rFonts w:hint="eastAsia" w:ascii="仿宋_GB2312" w:hAnsi="仿宋_GB2312" w:eastAsia="仿宋_GB2312" w:cs="仿宋_GB2312"/>
          <w:sz w:val="32"/>
          <w:szCs w:val="32"/>
          <w:highlight w:val="none"/>
          <w:shd w:val="clear" w:color="auto" w:fill="FFFFFF"/>
        </w:rPr>
        <w:t>　违反本条例第三十条规定，不按</w:t>
      </w:r>
      <w:r>
        <w:rPr>
          <w:rFonts w:hint="eastAsia" w:ascii="仿宋_GB2312" w:hAnsi="仿宋_GB2312" w:eastAsia="仿宋_GB2312" w:cs="仿宋_GB2312"/>
          <w:sz w:val="32"/>
          <w:szCs w:val="32"/>
          <w:highlight w:val="none"/>
          <w:shd w:val="clear" w:color="auto" w:fill="FFFFFF"/>
          <w:lang w:val="en-US" w:eastAsia="zh-CN"/>
        </w:rPr>
        <w:t>照</w:t>
      </w:r>
      <w:r>
        <w:rPr>
          <w:rFonts w:hint="eastAsia" w:ascii="仿宋_GB2312" w:hAnsi="仿宋_GB2312" w:eastAsia="仿宋_GB2312" w:cs="仿宋_GB2312"/>
          <w:sz w:val="32"/>
          <w:szCs w:val="32"/>
          <w:highlight w:val="none"/>
          <w:shd w:val="clear" w:color="auto" w:fill="FFFFFF"/>
        </w:rPr>
        <w:t>法定方式投资增值，或者在投资过程中，因失职而使基金受到损失的，由</w:t>
      </w:r>
      <w:r>
        <w:rPr>
          <w:rFonts w:hint="eastAsia" w:ascii="仿宋_GB2312" w:hAnsi="仿宋_GB2312" w:eastAsia="仿宋_GB2312" w:cs="仿宋_GB2312"/>
          <w:b w:val="0"/>
          <w:i w:val="0"/>
          <w:iCs w:val="0"/>
          <w:caps w:val="0"/>
          <w:color w:val="auto"/>
          <w:spacing w:val="0"/>
          <w:sz w:val="32"/>
          <w:szCs w:val="32"/>
          <w:highlight w:val="none"/>
          <w:u w:val="none"/>
          <w:shd w:val="clear" w:fill="FFFFFF"/>
        </w:rPr>
        <w:t>其主管部门</w:t>
      </w:r>
      <w:r>
        <w:rPr>
          <w:rFonts w:hint="eastAsia" w:ascii="仿宋_GB2312" w:hAnsi="仿宋_GB2312" w:eastAsia="仿宋_GB2312" w:cs="仿宋_GB2312"/>
          <w:sz w:val="32"/>
          <w:szCs w:val="32"/>
          <w:highlight w:val="none"/>
          <w:shd w:val="clear" w:color="auto" w:fill="FFFFFF"/>
        </w:rPr>
        <w:t>对基金会主要负责人和直接责任人员给予处分；有个人非法获利的，追缴其非法所得，构成犯罪的，依法追究刑事责任。</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b w:val="0"/>
          <w:i w:val="0"/>
          <w:caps w:val="0"/>
          <w:color w:val="auto"/>
          <w:spacing w:val="0"/>
          <w:sz w:val="32"/>
          <w:szCs w:val="32"/>
          <w:shd w:val="clear" w:fill="FFFFFF"/>
        </w:rPr>
        <w:t>　</w:t>
      </w:r>
      <w:r>
        <w:rPr>
          <w:rFonts w:hint="eastAsia" w:ascii="仿宋_GB2312" w:hAnsi="仿宋_GB2312" w:eastAsia="仿宋_GB2312" w:cs="仿宋_GB2312"/>
          <w:b w:val="0"/>
          <w:i w:val="0"/>
          <w:caps w:val="0"/>
          <w:color w:val="auto"/>
          <w:spacing w:val="0"/>
          <w:sz w:val="32"/>
          <w:szCs w:val="32"/>
          <w:shd w:val="clear" w:fill="FFFFFF"/>
          <w:lang w:val="en-US" w:eastAsia="zh-CN"/>
        </w:rPr>
        <w:t xml:space="preserve"> </w:t>
      </w:r>
      <w:r>
        <w:rPr>
          <w:rFonts w:hint="eastAsia" w:ascii="黑体" w:hAnsi="黑体" w:eastAsia="黑体" w:cs="黑体"/>
          <w:b w:val="0"/>
          <w:i w:val="0"/>
          <w:caps w:val="0"/>
          <w:color w:val="auto"/>
          <w:spacing w:val="0"/>
          <w:kern w:val="0"/>
          <w:sz w:val="32"/>
          <w:szCs w:val="32"/>
          <w:shd w:val="clear" w:fill="FFFFFF"/>
          <w:lang w:val="en-US" w:eastAsia="zh-CN" w:bidi="ar"/>
        </w:rPr>
        <w:t>第三十九条　</w:t>
      </w:r>
      <w:r>
        <w:rPr>
          <w:rFonts w:hint="eastAsia" w:ascii="仿宋_GB2312" w:hAnsi="仿宋_GB2312" w:eastAsia="仿宋_GB2312" w:cs="仿宋_GB2312"/>
          <w:b w:val="0"/>
          <w:i w:val="0"/>
          <w:caps w:val="0"/>
          <w:color w:val="auto"/>
          <w:spacing w:val="0"/>
          <w:sz w:val="32"/>
          <w:szCs w:val="32"/>
          <w:shd w:val="clear" w:fill="FFFFFF"/>
        </w:rPr>
        <w:t>违反本条例第三十一条规定，未定期向人民银行、民政部门报送基金收支报表的，由人民银行、民政部门通报批评，并责令其报送。情节严重的，由有关部门依法处理。</w:t>
      </w:r>
    </w:p>
    <w:p>
      <w:pPr>
        <w:pStyle w:val="7"/>
        <w:widowControl/>
        <w:spacing w:beforeAutospacing="0" w:afterAutospacing="0" w:line="560" w:lineRule="exact"/>
        <w:jc w:val="both"/>
        <w:rPr>
          <w:rFonts w:ascii="仿宋_GB2312" w:hAnsi="仿宋_GB2312" w:eastAsia="仿宋_GB2312" w:cs="仿宋_GB2312"/>
          <w:sz w:val="32"/>
          <w:szCs w:val="32"/>
          <w:highlight w:val="none"/>
        </w:rPr>
      </w:pPr>
    </w:p>
    <w:p>
      <w:pPr>
        <w:widowControl/>
        <w:shd w:val="clear" w:color="auto" w:fill="auto"/>
        <w:spacing w:line="560" w:lineRule="exact"/>
        <w:jc w:val="center"/>
        <w:rPr>
          <w:rFonts w:ascii="黑体" w:hAnsi="黑体" w:eastAsia="黑体" w:cs="黑体"/>
          <w:kern w:val="0"/>
          <w:sz w:val="32"/>
          <w:szCs w:val="32"/>
          <w:highlight w:val="none"/>
          <w:shd w:val="clear" w:color="auto" w:fill="FFFFFF"/>
          <w:lang w:bidi="ar"/>
        </w:rPr>
      </w:pPr>
    </w:p>
    <w:p>
      <w:pPr>
        <w:widowControl/>
        <w:numPr>
          <w:ilvl w:val="0"/>
          <w:numId w:val="1"/>
        </w:numPr>
        <w:shd w:val="clear" w:color="auto" w:fill="auto"/>
        <w:spacing w:line="560" w:lineRule="exact"/>
        <w:ind w:left="0"/>
        <w:jc w:val="center"/>
        <w:rPr>
          <w:rFonts w:ascii="黑体" w:hAnsi="黑体" w:eastAsia="黑体" w:cs="黑体"/>
          <w:kern w:val="0"/>
          <w:sz w:val="32"/>
          <w:szCs w:val="32"/>
          <w:highlight w:val="none"/>
          <w:shd w:val="clear" w:color="auto" w:fill="FFFFFF"/>
          <w:lang w:bidi="ar"/>
        </w:rPr>
      </w:pPr>
      <w:r>
        <w:rPr>
          <w:rFonts w:hint="eastAsia" w:ascii="黑体" w:hAnsi="黑体" w:eastAsia="黑体" w:cs="黑体"/>
          <w:kern w:val="0"/>
          <w:sz w:val="32"/>
          <w:szCs w:val="32"/>
          <w:highlight w:val="none"/>
          <w:shd w:val="clear" w:color="auto" w:fill="FFFFFF"/>
          <w:lang w:bidi="ar"/>
        </w:rPr>
        <w:t>附</w:t>
      </w:r>
      <w:bookmarkStart w:id="0" w:name="_GoBack"/>
      <w:bookmarkEnd w:id="0"/>
      <w:r>
        <w:rPr>
          <w:rFonts w:hint="eastAsia" w:ascii="黑体" w:hAnsi="黑体" w:eastAsia="黑体" w:cs="黑体"/>
          <w:kern w:val="0"/>
          <w:sz w:val="32"/>
          <w:szCs w:val="32"/>
          <w:highlight w:val="none"/>
          <w:shd w:val="clear" w:color="auto" w:fill="FFFFFF"/>
          <w:lang w:bidi="ar"/>
        </w:rPr>
        <w:t>则</w:t>
      </w:r>
    </w:p>
    <w:p>
      <w:pPr>
        <w:widowControl/>
        <w:shd w:val="clear" w:color="auto" w:fill="auto"/>
        <w:spacing w:line="560" w:lineRule="exact"/>
        <w:rPr>
          <w:rFonts w:ascii="黑体" w:hAnsi="黑体" w:eastAsia="黑体" w:cs="黑体"/>
          <w:kern w:val="0"/>
          <w:sz w:val="32"/>
          <w:szCs w:val="32"/>
          <w:highlight w:val="none"/>
          <w:shd w:val="clear" w:color="auto" w:fill="FFFFFF"/>
          <w:lang w:bidi="ar"/>
        </w:rPr>
      </w:pPr>
    </w:p>
    <w:p>
      <w:pPr>
        <w:pStyle w:val="7"/>
        <w:widowControl/>
        <w:spacing w:beforeAutospacing="0" w:afterAutospacing="0" w:line="560" w:lineRule="exact"/>
        <w:jc w:val="both"/>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shd w:val="clear" w:color="auto" w:fill="FFFFFF"/>
        </w:rPr>
        <w:t>　</w:t>
      </w:r>
      <w:r>
        <w:rPr>
          <w:rFonts w:hint="eastAsia" w:ascii="黑体" w:hAnsi="黑体" w:eastAsia="黑体" w:cs="黑体"/>
          <w:sz w:val="32"/>
          <w:szCs w:val="32"/>
          <w:highlight w:val="none"/>
          <w:shd w:val="clear" w:color="auto" w:fill="FFFFFF"/>
        </w:rPr>
        <w:t>　</w:t>
      </w:r>
      <w:r>
        <w:rPr>
          <w:rFonts w:hint="eastAsia" w:ascii="黑体" w:hAnsi="黑体" w:eastAsia="黑体" w:cs="黑体"/>
          <w:b w:val="0"/>
          <w:sz w:val="32"/>
          <w:szCs w:val="32"/>
          <w:highlight w:val="none"/>
          <w:shd w:val="clear" w:color="auto" w:fill="FFFFFF"/>
        </w:rPr>
        <w:t>第</w:t>
      </w:r>
      <w:r>
        <w:rPr>
          <w:rFonts w:hint="eastAsia" w:ascii="黑体" w:hAnsi="黑体" w:eastAsia="黑体" w:cs="黑体"/>
          <w:b w:val="0"/>
          <w:sz w:val="32"/>
          <w:szCs w:val="32"/>
          <w:highlight w:val="none"/>
          <w:shd w:val="clear" w:color="auto" w:fill="FFFFFF"/>
          <w:lang w:val="en-US" w:eastAsia="zh-CN"/>
        </w:rPr>
        <w:t>四十</w:t>
      </w:r>
      <w:r>
        <w:rPr>
          <w:rFonts w:hint="eastAsia" w:ascii="黑体" w:hAnsi="黑体" w:eastAsia="黑体" w:cs="黑体"/>
          <w:b w:val="0"/>
          <w:sz w:val="32"/>
          <w:szCs w:val="32"/>
          <w:highlight w:val="none"/>
          <w:shd w:val="clear" w:color="auto" w:fill="FFFFFF"/>
        </w:rPr>
        <w:t>条</w:t>
      </w:r>
      <w:r>
        <w:rPr>
          <w:rFonts w:hint="eastAsia" w:ascii="仿宋_GB2312" w:hAnsi="仿宋_GB2312" w:eastAsia="仿宋_GB2312" w:cs="仿宋_GB2312"/>
          <w:sz w:val="32"/>
          <w:szCs w:val="32"/>
          <w:highlight w:val="none"/>
          <w:shd w:val="clear" w:color="auto" w:fill="FFFFFF"/>
        </w:rPr>
        <w:t>　本条例自公布之日起施行。</w:t>
      </w:r>
    </w:p>
    <w:p>
      <w:pPr>
        <w:spacing w:line="560" w:lineRule="exact"/>
        <w:rPr>
          <w:rFonts w:ascii="仿宋_GB2312" w:hAnsi="仿宋_GB2312" w:eastAsia="仿宋_GB2312" w:cs="仿宋_GB2312"/>
          <w:sz w:val="32"/>
          <w:szCs w:val="32"/>
          <w:highlight w:val="none"/>
        </w:rPr>
      </w:pPr>
    </w:p>
    <w:p>
      <w:pPr>
        <w:spacing w:line="560" w:lineRule="exact"/>
        <w:rPr>
          <w:rFonts w:ascii="仿宋_GB2312" w:hAnsi="仿宋_GB2312" w:eastAsia="仿宋_GB2312" w:cs="仿宋_GB2312"/>
          <w:sz w:val="32"/>
          <w:szCs w:val="32"/>
          <w:highlight w:val="none"/>
        </w:rPr>
      </w:pPr>
    </w:p>
    <w:sectPr>
      <w:footerReference r:id="rId3" w:type="default"/>
      <w:pgSz w:w="11906" w:h="16838"/>
      <w:pgMar w:top="2098" w:right="1587" w:bottom="1814" w:left="1587" w:header="851" w:footer="992" w:gutter="0"/>
      <w:pgBorders>
        <w:top w:val="none" w:sz="0" w:space="0"/>
        <w:left w:val="none" w:sz="0" w:space="0"/>
        <w:bottom w:val="none" w:sz="0" w:space="0"/>
        <w:right w:val="none" w:sz="0" w:space="0"/>
      </w:pgBorders>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-47625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ind w:left="210" w:leftChars="100" w:right="210" w:rightChars="100"/>
                            <w:rPr>
                              <w:rFonts w:ascii="Times New Roman" w:hAnsi="Times New Roman" w:cs="Times New Roman"/>
                              <w:sz w:val="28"/>
                              <w:szCs w:val="28"/>
                            </w:rPr>
                          </w:pPr>
                          <w:r>
                            <w:rPr>
                              <w:rFonts w:hint="default" w:ascii="Times New Roman" w:hAnsi="Times New Roman" w:eastAsia="宋体"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3.75pt;height:144pt;width:144pt;mso-position-horizontal:outside;mso-position-horizontal-relative:margin;mso-wrap-style:none;z-index:251658240;mso-width-relative:page;mso-height-relative:page;" filled="f" stroked="f" coordsize="21600,21600" o:gfxdata="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K6OSvPYAAAACgEAAA8AAAAAAAAAAQAg&#10;AAAAIgAAAGRycy9kb3ducmV2LnhtbFBLAQIUABQAAAAIAIdO4kD6TuaaDgIAAAcEAAAOAAAAAAAA&#10;AAEAIAAAACcBAABkcnMvZTJvRG9jLnhtbFBLBQYAAAAABgAGAFkBAACnBQAAAAA=&#10;">
              <v:fill on="f" focussize="0,0"/>
              <v:stroke on="f" weight="0.5pt"/>
              <v:imagedata o:title=""/>
              <o:lock v:ext="edit" aspectratio="f"/>
              <v:textbox inset="0mm,0mm,0mm,0mm" style="mso-fit-shape-to-text:t;">
                <w:txbxContent>
                  <w:p>
                    <w:pPr>
                      <w:pStyle w:val="5"/>
                      <w:ind w:left="210" w:leftChars="100" w:right="210" w:rightChars="100"/>
                      <w:rPr>
                        <w:rFonts w:ascii="Times New Roman" w:hAnsi="Times New Roman" w:cs="Times New Roman"/>
                        <w:sz w:val="28"/>
                        <w:szCs w:val="28"/>
                      </w:rPr>
                    </w:pPr>
                    <w:r>
                      <w:rPr>
                        <w:rFonts w:hint="default" w:ascii="Times New Roman" w:hAnsi="Times New Roman" w:eastAsia="宋体"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244A9"/>
    <w:multiLevelType w:val="singleLevel"/>
    <w:tmpl w:val="207244A9"/>
    <w:lvl w:ilvl="0" w:tentative="0">
      <w:start w:val="1"/>
      <w:numFmt w:val="chineseCounting"/>
      <w:suff w:val="nothing"/>
      <w:lvlText w:val="第%1章　"/>
      <w:lvlJc w:val="left"/>
      <w:pPr>
        <w:ind w:left="3073"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661"/>
    <w:rsid w:val="000F7661"/>
    <w:rsid w:val="00106F29"/>
    <w:rsid w:val="001C66E2"/>
    <w:rsid w:val="006B481A"/>
    <w:rsid w:val="007C144B"/>
    <w:rsid w:val="008E0912"/>
    <w:rsid w:val="0092144E"/>
    <w:rsid w:val="00A47526"/>
    <w:rsid w:val="00A9765A"/>
    <w:rsid w:val="03096859"/>
    <w:rsid w:val="04DB7D12"/>
    <w:rsid w:val="052449E7"/>
    <w:rsid w:val="0BD9788F"/>
    <w:rsid w:val="0D994F5C"/>
    <w:rsid w:val="11385867"/>
    <w:rsid w:val="13C23D6F"/>
    <w:rsid w:val="14A161AA"/>
    <w:rsid w:val="1BEC7773"/>
    <w:rsid w:val="1D4143D6"/>
    <w:rsid w:val="219B3718"/>
    <w:rsid w:val="21FF00F9"/>
    <w:rsid w:val="233C23D9"/>
    <w:rsid w:val="23E90863"/>
    <w:rsid w:val="2722040C"/>
    <w:rsid w:val="32CA6CA2"/>
    <w:rsid w:val="33424C84"/>
    <w:rsid w:val="33F429C1"/>
    <w:rsid w:val="41C33D89"/>
    <w:rsid w:val="438203D5"/>
    <w:rsid w:val="44873EF3"/>
    <w:rsid w:val="44F22554"/>
    <w:rsid w:val="460135B0"/>
    <w:rsid w:val="46B52C32"/>
    <w:rsid w:val="477F753B"/>
    <w:rsid w:val="48270343"/>
    <w:rsid w:val="48D60E77"/>
    <w:rsid w:val="49F619B2"/>
    <w:rsid w:val="4BC971EA"/>
    <w:rsid w:val="4F525A64"/>
    <w:rsid w:val="50EE4C7D"/>
    <w:rsid w:val="5479306E"/>
    <w:rsid w:val="561206D7"/>
    <w:rsid w:val="580179CC"/>
    <w:rsid w:val="589075A8"/>
    <w:rsid w:val="5A9247F5"/>
    <w:rsid w:val="5EED22B5"/>
    <w:rsid w:val="62EE7E93"/>
    <w:rsid w:val="63085574"/>
    <w:rsid w:val="673877B3"/>
    <w:rsid w:val="6954372B"/>
    <w:rsid w:val="6B0425D5"/>
    <w:rsid w:val="6C407EA4"/>
    <w:rsid w:val="6D3C4360"/>
    <w:rsid w:val="6FB0185E"/>
    <w:rsid w:val="7029446C"/>
    <w:rsid w:val="74AD50D9"/>
    <w:rsid w:val="774B2196"/>
    <w:rsid w:val="781A3F35"/>
    <w:rsid w:val="7B952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Balloon Text"/>
    <w:basedOn w:val="1"/>
    <w:link w:val="12"/>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qFormat/>
    <w:uiPriority w:val="0"/>
    <w:pPr>
      <w:spacing w:beforeAutospacing="1" w:afterAutospacing="1"/>
      <w:jc w:val="left"/>
    </w:pPr>
    <w:rPr>
      <w:rFonts w:cs="Times New Roman"/>
      <w:kern w:val="0"/>
      <w:sz w:val="24"/>
    </w:rPr>
  </w:style>
  <w:style w:type="character" w:styleId="10">
    <w:name w:val="Hyperlink"/>
    <w:basedOn w:val="9"/>
    <w:qFormat/>
    <w:uiPriority w:val="0"/>
    <w:rPr>
      <w:color w:val="0000FF"/>
      <w:u w:val="single"/>
    </w:rPr>
  </w:style>
  <w:style w:type="paragraph" w:customStyle="1" w:styleId="11">
    <w:name w:val="Char"/>
    <w:basedOn w:val="1"/>
    <w:qFormat/>
    <w:uiPriority w:val="0"/>
    <w:pPr>
      <w:tabs>
        <w:tab w:val="left" w:pos="360"/>
      </w:tabs>
    </w:pPr>
    <w:rPr>
      <w:rFonts w:ascii="仿宋_GB2312" w:hAnsi="Calibri" w:eastAsia="仿宋_GB2312" w:cs="Times New Roman"/>
      <w:sz w:val="32"/>
      <w:szCs w:val="32"/>
    </w:rPr>
  </w:style>
  <w:style w:type="character" w:customStyle="1" w:styleId="12">
    <w:name w:val="批注框文本 字符"/>
    <w:basedOn w:val="9"/>
    <w:link w:val="4"/>
    <w:qFormat/>
    <w:uiPriority w:val="0"/>
    <w:rPr>
      <w:rFonts w:asciiTheme="minorHAnsi" w:hAnsiTheme="minorHAnsi" w:eastAsiaTheme="minorEastAsia" w:cstheme="minorBidi"/>
      <w:kern w:val="2"/>
      <w:sz w:val="18"/>
      <w:szCs w:val="18"/>
    </w:rPr>
  </w:style>
  <w:style w:type="paragraph" w:styleId="1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631</Words>
  <Characters>3602</Characters>
  <Lines>30</Lines>
  <Paragraphs>8</Paragraphs>
  <TotalTime>1</TotalTime>
  <ScaleCrop>false</ScaleCrop>
  <LinksUpToDate>false</LinksUpToDate>
  <CharactersWithSpaces>4225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chang</cp:lastModifiedBy>
  <dcterms:modified xsi:type="dcterms:W3CDTF">2020-02-16T07:39:44Z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