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hint="eastAsia" w:ascii="宋体" w:hAnsi="宋体" w:eastAsia="宋体" w:cs="宋体"/>
          <w:b/>
          <w:bCs/>
          <w:kern w:val="2"/>
          <w:sz w:val="44"/>
          <w:szCs w:val="44"/>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hint="eastAsia" w:ascii="宋体" w:hAnsi="宋体" w:eastAsia="宋体" w:cs="宋体"/>
          <w:b/>
          <w:bCs/>
          <w:kern w:val="2"/>
          <w:sz w:val="44"/>
          <w:szCs w:val="44"/>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hint="eastAsia" w:ascii="宋体" w:hAnsi="宋体" w:eastAsia="宋体" w:cs="宋体"/>
          <w:b w:val="0"/>
          <w:bCs w:val="0"/>
          <w:kern w:val="2"/>
          <w:sz w:val="44"/>
          <w:szCs w:val="44"/>
        </w:rPr>
      </w:pPr>
      <w:r>
        <w:rPr>
          <w:rFonts w:hint="eastAsia" w:ascii="宋体" w:hAnsi="宋体" w:eastAsia="宋体" w:cs="宋体"/>
          <w:b w:val="0"/>
          <w:bCs w:val="0"/>
          <w:kern w:val="2"/>
          <w:sz w:val="44"/>
          <w:szCs w:val="44"/>
        </w:rPr>
        <w:fldChar w:fldCharType="begin"/>
      </w:r>
      <w:r>
        <w:rPr>
          <w:rFonts w:hint="eastAsia" w:ascii="宋体" w:hAnsi="宋体" w:eastAsia="宋体" w:cs="宋体"/>
          <w:b w:val="0"/>
          <w:bCs w:val="0"/>
          <w:kern w:val="2"/>
          <w:sz w:val="44"/>
          <w:szCs w:val="44"/>
        </w:rPr>
        <w:instrText xml:space="preserve"> HYPERLINK "https://alphalawyer.cn/ilawregu-search/api/v1/lawregu/redict/e4dc9c22fb9e77d64c569d2aff19809" </w:instrText>
      </w:r>
      <w:r>
        <w:rPr>
          <w:rFonts w:hint="eastAsia" w:ascii="宋体" w:hAnsi="宋体" w:eastAsia="宋体" w:cs="宋体"/>
          <w:b w:val="0"/>
          <w:bCs w:val="0"/>
          <w:kern w:val="2"/>
          <w:sz w:val="44"/>
          <w:szCs w:val="44"/>
        </w:rPr>
        <w:fldChar w:fldCharType="separate"/>
      </w:r>
      <w:r>
        <w:rPr>
          <w:rFonts w:hint="eastAsia" w:ascii="宋体" w:hAnsi="宋体" w:eastAsia="宋体" w:cs="宋体"/>
          <w:b w:val="0"/>
          <w:bCs w:val="0"/>
          <w:kern w:val="2"/>
          <w:sz w:val="44"/>
          <w:szCs w:val="44"/>
        </w:rPr>
        <w:t>深圳经济特区房地产登记条例</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center"/>
        <w:textAlignment w:val="auto"/>
        <w:rPr>
          <w:rFonts w:hAnsi="仿宋" w:cs="Times New Roman"/>
          <w:kern w:val="2"/>
          <w:szCs w:val="32"/>
        </w:rPr>
      </w:pPr>
      <w:r>
        <w:rPr>
          <w:rFonts w:hint="eastAsia" w:ascii="宋体" w:hAnsi="宋体" w:eastAsia="宋体" w:cs="宋体"/>
          <w:b w:val="0"/>
          <w:bCs w:val="0"/>
          <w:kern w:val="2"/>
          <w:sz w:val="44"/>
          <w:szCs w:val="44"/>
        </w:rPr>
        <w:fldChar w:fldCharType="end"/>
      </w:r>
    </w:p>
    <w:p>
      <w:pPr>
        <w:widowControl w:val="0"/>
        <w:spacing w:before="0" w:beforeLines="-2147483648" w:line="540" w:lineRule="exact"/>
        <w:ind w:left="420" w:leftChars="200" w:right="325" w:rightChars="155" w:firstLine="0" w:firstLineChars="0"/>
        <w:jc w:val="both"/>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（1992年12月26日深圳市第一届人民代表大会常务委员会第十三次会议通过</w:t>
      </w:r>
      <w:r>
        <w:rPr>
          <w:rFonts w:hint="eastAsia" w:ascii="楷体_GB2312" w:hAnsi="楷体_GB2312" w:eastAsia="楷体_GB2312" w:cs="楷体_GB2312"/>
          <w:kern w:val="2"/>
          <w:sz w:val="32"/>
          <w:szCs w:val="32"/>
          <w:lang w:val="en-US" w:eastAsia="zh-CN"/>
        </w:rPr>
        <w:t xml:space="preserve">  </w:t>
      </w:r>
      <w:r>
        <w:rPr>
          <w:rFonts w:hint="eastAsia" w:ascii="楷体_GB2312" w:hAnsi="楷体_GB2312" w:eastAsia="楷体_GB2312" w:cs="楷体_GB2312"/>
          <w:kern w:val="2"/>
          <w:sz w:val="32"/>
          <w:szCs w:val="32"/>
        </w:rPr>
        <w:t>根据2013年2月25日深圳市第五届人民代表大会常务委员会第二十一次会议《关于修改〈深圳经济特区房地产登记条例〉的决定》</w:t>
      </w:r>
      <w:r>
        <w:rPr>
          <w:rFonts w:hint="eastAsia" w:ascii="楷体_GB2312" w:hAnsi="楷体_GB2312" w:eastAsia="楷体_GB2312" w:cs="楷体_GB2312"/>
          <w:kern w:val="2"/>
          <w:sz w:val="32"/>
          <w:szCs w:val="32"/>
          <w:lang w:val="en-US" w:eastAsia="zh-CN"/>
        </w:rPr>
        <w:t>第一次</w:t>
      </w:r>
      <w:r>
        <w:rPr>
          <w:rFonts w:hint="eastAsia" w:ascii="楷体_GB2312" w:hAnsi="楷体_GB2312" w:eastAsia="楷体_GB2312" w:cs="楷体_GB2312"/>
          <w:kern w:val="2"/>
          <w:sz w:val="32"/>
          <w:szCs w:val="32"/>
        </w:rPr>
        <w:t>修正</w:t>
      </w:r>
      <w:r>
        <w:rPr>
          <w:rFonts w:hint="eastAsia" w:ascii="楷体_GB2312" w:hAnsi="楷体_GB2312" w:eastAsia="楷体_GB2312" w:cs="楷体_GB2312"/>
          <w:kern w:val="2"/>
          <w:sz w:val="32"/>
          <w:szCs w:val="32"/>
          <w:lang w:val="en-US" w:eastAsia="zh-CN"/>
        </w:rPr>
        <w:t xml:space="preserve">  根据2019年10月31日深圳市第六届人民代表大会常务委员会第三十六次会议《关于修改〈深圳经济特区人体器官捐献移植条例〉等四十五项法规的决定》第二次修正</w:t>
      </w:r>
      <w:r>
        <w:rPr>
          <w:rFonts w:hint="eastAsia" w:ascii="楷体_GB2312" w:hAnsi="楷体_GB2312" w:eastAsia="楷体_GB2312" w:cs="楷体_GB2312"/>
          <w:kern w:val="2"/>
          <w:sz w:val="3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hAnsi="仿宋" w:cs="Times New Roman"/>
          <w:kern w:val="2"/>
          <w:szCs w:val="32"/>
        </w:rPr>
      </w:pPr>
    </w:p>
    <w:p>
      <w:pPr>
        <w:pStyle w:val="18"/>
        <w:keepNext w:val="0"/>
        <w:keepLines w:val="0"/>
        <w:pageBreakBefore w:val="0"/>
        <w:widowControl w:val="0"/>
        <w:tabs>
          <w:tab w:val="left" w:pos="3166"/>
        </w:tabs>
        <w:kinsoku/>
        <w:wordWrap/>
        <w:overflowPunct/>
        <w:topLinePunct w:val="0"/>
        <w:autoSpaceDE/>
        <w:autoSpaceDN/>
        <w:bidi w:val="0"/>
        <w:adjustRightInd/>
        <w:snapToGrid/>
        <w:spacing w:before="0" w:beforeLines="0" w:line="560" w:lineRule="exact"/>
        <w:jc w:val="center"/>
        <w:textAlignment w:val="auto"/>
        <w:rPr>
          <w:rFonts w:hint="eastAsia" w:ascii="楷体_GB2312" w:hAnsi="楷体_GB2312" w:eastAsia="楷体_GB2312" w:cs="楷体_GB2312"/>
          <w:kern w:val="2"/>
          <w:szCs w:val="32"/>
          <w:lang w:eastAsia="zh-CN"/>
        </w:rPr>
      </w:pPr>
      <w:r>
        <w:rPr>
          <w:rFonts w:hint="eastAsia" w:ascii="楷体_GB2312" w:hAnsi="楷体_GB2312" w:eastAsia="楷体_GB2312" w:cs="楷体_GB2312"/>
          <w:kern w:val="2"/>
          <w:szCs w:val="32"/>
        </w:rPr>
        <w:t>目</w:t>
      </w:r>
      <w:r>
        <w:rPr>
          <w:rFonts w:hint="eastAsia" w:ascii="楷体_GB2312" w:hAnsi="楷体_GB2312" w:eastAsia="楷体_GB2312" w:cs="楷体_GB2312"/>
          <w:kern w:val="2"/>
          <w:szCs w:val="32"/>
          <w:lang w:val="en-US" w:eastAsia="zh-CN"/>
        </w:rPr>
        <w:t xml:space="preserve">    </w:t>
      </w:r>
      <w:r>
        <w:rPr>
          <w:rFonts w:hint="eastAsia" w:ascii="楷体_GB2312" w:hAnsi="楷体_GB2312" w:eastAsia="楷体_GB2312" w:cs="楷体_GB2312"/>
          <w:kern w:val="2"/>
          <w:szCs w:val="32"/>
        </w:rPr>
        <w:t>录</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第一章　总则</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第二章　一般规定</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第三章　登记程序</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第一节　程序通</w:t>
      </w:r>
      <w:r>
        <w:rPr>
          <w:rFonts w:hint="eastAsia" w:ascii="楷体_GB2312" w:hAnsi="楷体_GB2312" w:eastAsia="楷体_GB2312" w:cs="楷体_GB2312"/>
          <w:kern w:val="2"/>
          <w:szCs w:val="32"/>
        </w:rPr>
        <w:tab/>
      </w:r>
      <w:r>
        <w:rPr>
          <w:rFonts w:hint="eastAsia" w:ascii="楷体_GB2312" w:hAnsi="楷体_GB2312" w:eastAsia="楷体_GB2312" w:cs="楷体_GB2312"/>
          <w:kern w:val="2"/>
          <w:szCs w:val="32"/>
        </w:rPr>
        <w:t>则</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第二节　首次登记</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第三节　转移登记</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第四节　抵押登记</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第五节　变更及其他登记</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第四章　撤销登记</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第五章　登记规费</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第六章　法律责任</w:t>
      </w:r>
      <w:r>
        <w:rPr>
          <w:rFonts w:hint="eastAsia" w:ascii="楷体_GB2312" w:hAnsi="楷体_GB2312" w:eastAsia="楷体_GB2312" w:cs="楷体_GB2312"/>
          <w:kern w:val="2"/>
          <w:szCs w:val="32"/>
        </w:rPr>
        <w:tab/>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第七章　附则</w:t>
      </w:r>
      <w:r>
        <w:rPr>
          <w:rFonts w:hint="eastAsia" w:ascii="楷体_GB2312" w:hAnsi="楷体_GB2312" w:eastAsia="楷体_GB2312" w:cs="楷体_GB2312"/>
          <w:kern w:val="2"/>
          <w:szCs w:val="32"/>
        </w:rPr>
        <w:tab/>
      </w:r>
      <w:r>
        <w:rPr>
          <w:rFonts w:hint="eastAsia" w:ascii="楷体_GB2312" w:hAnsi="楷体_GB2312" w:eastAsia="楷体_GB2312" w:cs="楷体_GB2312"/>
          <w:kern w:val="2"/>
          <w:szCs w:val="32"/>
        </w:rPr>
        <w:fldChar w:fldCharType="begin"/>
      </w:r>
      <w:r>
        <w:rPr>
          <w:rFonts w:hint="eastAsia" w:ascii="楷体_GB2312" w:hAnsi="楷体_GB2312" w:eastAsia="楷体_GB2312" w:cs="楷体_GB2312"/>
          <w:kern w:val="2"/>
          <w:szCs w:val="32"/>
        </w:rPr>
        <w:instrText xml:space="preserve"> TOC \o "1-3" \h \z \u </w:instrText>
      </w:r>
      <w:r>
        <w:rPr>
          <w:rFonts w:hint="eastAsia" w:ascii="楷体_GB2312" w:hAnsi="楷体_GB2312" w:eastAsia="楷体_GB2312" w:cs="楷体_GB2312"/>
          <w:kern w:val="2"/>
          <w:szCs w:val="32"/>
        </w:rPr>
        <w:fldChar w:fldCharType="separate"/>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480" w:firstLineChars="150"/>
        <w:jc w:val="both"/>
        <w:textAlignment w:val="auto"/>
        <w:rPr>
          <w:rFonts w:hint="eastAsia" w:ascii="楷体_GB2312" w:hAnsi="楷体_GB2312" w:eastAsia="楷体_GB2312" w:cs="楷体_GB2312"/>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hAnsi="仿宋" w:cs="Times New Roman"/>
          <w:kern w:val="2"/>
          <w:szCs w:val="32"/>
        </w:rPr>
      </w:pPr>
      <w:r>
        <w:rPr>
          <w:rFonts w:hint="eastAsia" w:ascii="楷体_GB2312" w:hAnsi="楷体_GB2312" w:eastAsia="楷体_GB2312" w:cs="楷体_GB2312"/>
          <w:kern w:val="2"/>
          <w:szCs w:val="32"/>
        </w:rPr>
        <w:fldChar w:fldCharType="end"/>
      </w:r>
      <w:bookmarkStart w:id="0" w:name="_Toc6BB33E56069CA482D622B8A786EF3E8C"/>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ascii="黑体" w:hAnsi="黑体" w:eastAsia="黑体" w:cs="黑体"/>
          <w:kern w:val="2"/>
          <w:szCs w:val="32"/>
        </w:rPr>
      </w:pPr>
      <w:r>
        <w:rPr>
          <w:rFonts w:ascii="黑体" w:hAnsi="黑体" w:eastAsia="黑体" w:cs="黑体"/>
          <w:kern w:val="2"/>
          <w:szCs w:val="32"/>
        </w:rPr>
        <w:t>第一章　总则</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hint="eastAsia" w:ascii="黑体" w:hAnsi="黑体" w:eastAsia="黑体" w:cs="黑体"/>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第一条</w:t>
      </w:r>
      <w:r>
        <w:rPr>
          <w:rFonts w:hint="default" w:hAnsi="仿宋" w:cs="Times New Roman"/>
          <w:kern w:val="2"/>
          <w:szCs w:val="32"/>
        </w:rPr>
        <w:t>　为</w:t>
      </w:r>
      <w:r>
        <w:rPr>
          <w:rFonts w:hint="eastAsia" w:hAnsi="仿宋" w:cs="Times New Roman"/>
          <w:kern w:val="2"/>
          <w:szCs w:val="32"/>
          <w:lang w:val="en-US" w:eastAsia="zh-CN"/>
        </w:rPr>
        <w:t>了</w:t>
      </w:r>
      <w:r>
        <w:rPr>
          <w:rFonts w:hint="default" w:hAnsi="仿宋" w:cs="Times New Roman"/>
          <w:kern w:val="2"/>
          <w:szCs w:val="32"/>
        </w:rPr>
        <w:t>确认房地产权利，保障权利人的合法权益，加强房地产管理，根据</w:t>
      </w:r>
      <w:r>
        <w:rPr>
          <w:rFonts w:hint="eastAsia" w:hAnsi="仿宋" w:cs="Times New Roman"/>
          <w:kern w:val="2"/>
          <w:szCs w:val="32"/>
          <w:lang w:val="en-US" w:eastAsia="zh-CN"/>
        </w:rPr>
        <w:t>有关</w:t>
      </w:r>
      <w:r>
        <w:rPr>
          <w:rFonts w:hint="default" w:hAnsi="仿宋" w:cs="Times New Roman"/>
          <w:kern w:val="2"/>
          <w:szCs w:val="32"/>
        </w:rPr>
        <w:t>法律、行政法规的基本原则，结合深圳经济特区（以下简称特区）实际，制定本条例。</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第二条</w:t>
      </w:r>
      <w:r>
        <w:rPr>
          <w:rFonts w:hint="default" w:hAnsi="仿宋" w:cs="Times New Roman"/>
          <w:kern w:val="2"/>
          <w:szCs w:val="32"/>
        </w:rPr>
        <w:t>　本条例所称房地产，是指土地及土地上的建筑物、附着物。</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本条例所称权利人，是指依</w:t>
      </w:r>
      <w:r>
        <w:rPr>
          <w:rFonts w:hint="eastAsia" w:hAnsi="仿宋" w:cs="Times New Roman"/>
          <w:kern w:val="2"/>
          <w:szCs w:val="32"/>
          <w:lang w:val="en-US" w:eastAsia="zh-CN"/>
        </w:rPr>
        <w:t>照</w:t>
      </w:r>
      <w:r>
        <w:rPr>
          <w:rFonts w:hint="default" w:hAnsi="仿宋" w:cs="Times New Roman"/>
          <w:kern w:val="2"/>
          <w:szCs w:val="32"/>
        </w:rPr>
        <w:t>本条例规定登记的房地产权利的享有人。</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本条例所称房地产权利，是指权利人对土地的使用权和土地上建筑物、附着物的所有权，以及由上述权利产生的他项权。</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第三条</w:t>
      </w:r>
      <w:r>
        <w:rPr>
          <w:rFonts w:hint="default" w:hAnsi="仿宋" w:cs="Times New Roman"/>
          <w:kern w:val="2"/>
          <w:szCs w:val="32"/>
        </w:rPr>
        <w:t>　房地产权利的设定、转移、变更、终止等，</w:t>
      </w:r>
      <w:r>
        <w:rPr>
          <w:rFonts w:hint="eastAsia" w:hAnsi="仿宋" w:cs="Times New Roman"/>
          <w:kern w:val="2"/>
          <w:szCs w:val="32"/>
          <w:lang w:val="en-US" w:eastAsia="zh-CN"/>
        </w:rPr>
        <w:t>应当</w:t>
      </w:r>
      <w:r>
        <w:rPr>
          <w:rFonts w:hint="default" w:hAnsi="仿宋" w:cs="Times New Roman"/>
          <w:kern w:val="2"/>
          <w:szCs w:val="32"/>
        </w:rPr>
        <w:t>依照本条例的规定进行登记。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依法登记的房地产权利受法律保护。</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第四条</w:t>
      </w:r>
      <w:r>
        <w:rPr>
          <w:rFonts w:hint="default" w:hAnsi="仿宋" w:cs="Times New Roman"/>
          <w:kern w:val="2"/>
          <w:szCs w:val="32"/>
        </w:rPr>
        <w:t>　</w:t>
      </w:r>
      <w:r>
        <w:rPr>
          <w:rFonts w:hint="eastAsia" w:hAnsi="仿宋" w:cs="Times New Roman"/>
          <w:kern w:val="2"/>
          <w:szCs w:val="32"/>
          <w:lang w:eastAsia="zh-CN"/>
        </w:rPr>
        <w:t>市规划和自然资源部门</w:t>
      </w:r>
      <w:r>
        <w:rPr>
          <w:rFonts w:hint="default" w:hAnsi="仿宋" w:cs="Times New Roman"/>
          <w:kern w:val="2"/>
          <w:szCs w:val="32"/>
        </w:rPr>
        <w:t>负责对特区房地产登记工作进行指导，监督</w:t>
      </w:r>
      <w:r>
        <w:rPr>
          <w:rFonts w:hint="eastAsia" w:hAnsi="仿宋" w:cs="Times New Roman"/>
          <w:kern w:val="2"/>
          <w:szCs w:val="32"/>
          <w:lang w:eastAsia="zh-CN"/>
        </w:rPr>
        <w:t>深圳市不动产登记中心</w:t>
      </w:r>
      <w:r>
        <w:rPr>
          <w:rFonts w:hint="default" w:hAnsi="仿宋" w:cs="Times New Roman"/>
          <w:kern w:val="2"/>
          <w:szCs w:val="32"/>
        </w:rPr>
        <w:t>（以下简称登记机构）依法履行房地产登记职责，依法组织制定房地产登记的具体工作规则并监督实施。</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登记机构负责集中统一办理特区房地产登记。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是权利人依法管理、经营、使用和处分房地产的凭证。</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登记机构对申请人申请登记的房地产依法进行审查和确认房地产权利，颁发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hint="eastAsia" w:ascii="黑体" w:hAnsi="黑体" w:eastAsia="黑体" w:cs="黑体"/>
          <w:kern w:val="2"/>
          <w:szCs w:val="32"/>
        </w:rPr>
      </w:pPr>
      <w:r>
        <w:rPr>
          <w:rFonts w:ascii="黑体" w:hAnsi="黑体" w:eastAsia="黑体" w:cs="黑体"/>
          <w:kern w:val="2"/>
          <w:szCs w:val="32"/>
        </w:rPr>
        <w:t>第二章　一般规定</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第六条</w:t>
      </w:r>
      <w:r>
        <w:rPr>
          <w:rFonts w:hint="default" w:hAnsi="仿宋" w:cs="Times New Roman"/>
          <w:kern w:val="2"/>
          <w:szCs w:val="32"/>
        </w:rPr>
        <w:t>　房地产登记以一宗土地为单位进行登记。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一宗土地存在两个或者两个以上权利人的，各权利人分别对该宗土地上的建筑物、附着物所有权和拥有的土地使用权份额申请登记。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前款所称一宗土地，是指以权属界线组成的封闭地块。</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第七条</w:t>
      </w:r>
      <w:r>
        <w:rPr>
          <w:rFonts w:hint="default" w:hAnsi="仿宋" w:cs="Times New Roman"/>
          <w:kern w:val="2"/>
          <w:szCs w:val="32"/>
        </w:rPr>
        <w:t>　土地上已有建筑物、附着物的，土地及建筑物、附着物应当同时登记。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土地使用权未经登记的，建筑物、附着物所有权或者他项权不予登记。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第八条</w:t>
      </w:r>
      <w:r>
        <w:rPr>
          <w:rFonts w:hint="default" w:hAnsi="仿宋" w:cs="Times New Roman"/>
          <w:kern w:val="2"/>
          <w:szCs w:val="32"/>
        </w:rPr>
        <w:t>　房地产登记应当对权利人、权利性质、权属来源、取得时间、变化情况和房地产的面积、结构、规划用途、价格、坐落等进行记载。</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第九条</w:t>
      </w:r>
      <w:r>
        <w:rPr>
          <w:rFonts w:hint="default" w:hAnsi="仿宋" w:cs="Times New Roman"/>
          <w:kern w:val="2"/>
          <w:szCs w:val="32"/>
        </w:rPr>
        <w:t>　登记机构应当设置</w:t>
      </w:r>
      <w:r>
        <w:rPr>
          <w:rFonts w:hint="eastAsia" w:hAnsi="仿宋" w:cs="Times New Roman"/>
          <w:kern w:val="2"/>
          <w:szCs w:val="32"/>
          <w:lang w:eastAsia="zh-CN"/>
        </w:rPr>
        <w:t>不动产登记簿</w:t>
      </w:r>
      <w:r>
        <w:rPr>
          <w:rFonts w:hint="default" w:hAnsi="仿宋" w:cs="Times New Roman"/>
          <w:kern w:val="2"/>
          <w:szCs w:val="32"/>
        </w:rPr>
        <w:t>，</w:t>
      </w:r>
      <w:r>
        <w:rPr>
          <w:rFonts w:hint="eastAsia" w:hAnsi="仿宋" w:cs="Times New Roman"/>
          <w:kern w:val="2"/>
          <w:szCs w:val="32"/>
          <w:lang w:eastAsia="zh-CN"/>
        </w:rPr>
        <w:t>按照</w:t>
      </w:r>
      <w:r>
        <w:rPr>
          <w:rFonts w:hint="default" w:hAnsi="仿宋" w:cs="Times New Roman"/>
          <w:kern w:val="2"/>
          <w:szCs w:val="32"/>
        </w:rPr>
        <w:t>宗地编号对房地产登记事项作全面、真实、准确的记载。</w:t>
      </w:r>
      <w:r>
        <w:rPr>
          <w:rFonts w:hint="eastAsia" w:hAnsi="仿宋" w:cs="Times New Roman"/>
          <w:kern w:val="2"/>
          <w:szCs w:val="32"/>
          <w:lang w:eastAsia="zh-CN"/>
        </w:rPr>
        <w:t>不动产登记簿</w:t>
      </w:r>
      <w:r>
        <w:rPr>
          <w:rFonts w:hint="default" w:hAnsi="仿宋" w:cs="Times New Roman"/>
          <w:kern w:val="2"/>
          <w:szCs w:val="32"/>
        </w:rPr>
        <w:t>记载的内容</w:t>
      </w:r>
      <w:r>
        <w:rPr>
          <w:rFonts w:hint="eastAsia" w:hAnsi="仿宋" w:cs="Times New Roman"/>
          <w:kern w:val="2"/>
          <w:szCs w:val="32"/>
          <w:lang w:eastAsia="zh-CN"/>
        </w:rPr>
        <w:t>可以</w:t>
      </w:r>
      <w:r>
        <w:rPr>
          <w:rFonts w:hint="default" w:hAnsi="仿宋" w:cs="Times New Roman"/>
          <w:kern w:val="2"/>
          <w:szCs w:val="32"/>
        </w:rPr>
        <w:t>供查阅、复印。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eastAsia="zh-CN"/>
        </w:rPr>
        <w:t>不动产登记簿</w:t>
      </w:r>
      <w:r>
        <w:rPr>
          <w:rFonts w:hint="default" w:hAnsi="仿宋" w:cs="Times New Roman"/>
          <w:kern w:val="2"/>
          <w:szCs w:val="32"/>
        </w:rPr>
        <w:t>、地籍资料和房地产原始凭证应当永久保存。</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不得涂改，任何涂改视为无效。</w:t>
      </w:r>
      <w:r>
        <w:rPr>
          <w:rFonts w:hint="eastAsia" w:hAnsi="仿宋" w:cs="Times New Roman"/>
          <w:kern w:val="2"/>
          <w:szCs w:val="32"/>
          <w:lang w:eastAsia="zh-CN"/>
        </w:rPr>
        <w:t>不动产登记簿</w:t>
      </w:r>
      <w:r>
        <w:rPr>
          <w:rFonts w:hint="default" w:hAnsi="仿宋" w:cs="Times New Roman"/>
          <w:kern w:val="2"/>
          <w:szCs w:val="32"/>
        </w:rPr>
        <w:t>有涂改的，应当加盖登记机构的核对章。</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eastAsia="zh-CN"/>
        </w:rPr>
        <w:t>不动产权属证书</w:t>
      </w:r>
      <w:r>
        <w:rPr>
          <w:rFonts w:hint="default" w:hAnsi="仿宋" w:cs="Times New Roman"/>
          <w:kern w:val="2"/>
          <w:szCs w:val="32"/>
        </w:rPr>
        <w:t>的记载与</w:t>
      </w:r>
      <w:r>
        <w:rPr>
          <w:rFonts w:hint="eastAsia" w:hAnsi="仿宋" w:cs="Times New Roman"/>
          <w:kern w:val="2"/>
          <w:szCs w:val="32"/>
          <w:lang w:eastAsia="zh-CN"/>
        </w:rPr>
        <w:t>不动产登记簿</w:t>
      </w:r>
      <w:r>
        <w:rPr>
          <w:rFonts w:hint="default" w:hAnsi="仿宋" w:cs="Times New Roman"/>
          <w:kern w:val="2"/>
          <w:szCs w:val="32"/>
        </w:rPr>
        <w:t>的记载不一致时，以</w:t>
      </w:r>
      <w:r>
        <w:rPr>
          <w:rFonts w:hint="eastAsia" w:hAnsi="仿宋" w:cs="Times New Roman"/>
          <w:kern w:val="2"/>
          <w:szCs w:val="32"/>
          <w:lang w:eastAsia="zh-CN"/>
        </w:rPr>
        <w:t>不动产登记簿</w:t>
      </w:r>
      <w:r>
        <w:rPr>
          <w:rFonts w:hint="default" w:hAnsi="仿宋" w:cs="Times New Roman"/>
          <w:kern w:val="2"/>
          <w:szCs w:val="32"/>
        </w:rPr>
        <w:t>的记载为准。</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当事人对</w:t>
      </w:r>
      <w:r>
        <w:rPr>
          <w:rFonts w:hint="eastAsia" w:hAnsi="仿宋" w:cs="Times New Roman"/>
          <w:kern w:val="2"/>
          <w:szCs w:val="32"/>
          <w:lang w:eastAsia="zh-CN"/>
        </w:rPr>
        <w:t>不动产登记簿</w:t>
      </w:r>
      <w:r>
        <w:rPr>
          <w:rFonts w:hint="default" w:hAnsi="仿宋" w:cs="Times New Roman"/>
          <w:kern w:val="2"/>
          <w:szCs w:val="32"/>
        </w:rPr>
        <w:t>的记载有异议的，登记机构应当查核原始凭证，并以原始凭证为准。</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第十一条</w:t>
      </w:r>
      <w:r>
        <w:rPr>
          <w:rFonts w:hint="default" w:hAnsi="仿宋" w:cs="Times New Roman"/>
          <w:kern w:val="2"/>
          <w:szCs w:val="32"/>
        </w:rPr>
        <w:t>　房地产登记实行统一表格制度。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表格由登记机构依据本条例和工作需要统一制作。</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第十二条</w:t>
      </w:r>
      <w:r>
        <w:rPr>
          <w:rFonts w:hint="default" w:hAnsi="仿宋" w:cs="Times New Roman"/>
          <w:kern w:val="2"/>
          <w:szCs w:val="32"/>
        </w:rPr>
        <w:t>　房地产登记的权利人名称为：</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（一）企业法人，为该企业法人的法定名称；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（二）国家机关、事业单位，为该机关、单位的法定名称或者政府确认的名称；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（三）非法人组织，为该组织依法登记的名称或者政府批准的名称；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（四）个人，为合法身份证明上的姓名；</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（五）共有人，为各权利人的名称或者姓名。</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第十三条</w:t>
      </w:r>
      <w:r>
        <w:rPr>
          <w:rFonts w:hint="default" w:hAnsi="仿宋" w:cs="Times New Roman"/>
          <w:kern w:val="2"/>
          <w:szCs w:val="32"/>
        </w:rPr>
        <w:t>　房地产买卖、抵押、分割、交换、赠与等房地产登记由有关当事人共同申请。</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下列情形的房地产登记，当事人</w:t>
      </w:r>
      <w:r>
        <w:rPr>
          <w:rFonts w:hint="eastAsia" w:hAnsi="仿宋" w:cs="Times New Roman"/>
          <w:kern w:val="2"/>
          <w:szCs w:val="32"/>
          <w:lang w:eastAsia="zh-CN"/>
        </w:rPr>
        <w:t>可以</w:t>
      </w:r>
      <w:r>
        <w:rPr>
          <w:rFonts w:hint="default" w:hAnsi="仿宋" w:cs="Times New Roman"/>
          <w:kern w:val="2"/>
          <w:szCs w:val="32"/>
        </w:rPr>
        <w:t>单独申请：</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（一）土地使用权或者建筑物、附着物所有权的</w:t>
      </w:r>
      <w:r>
        <w:rPr>
          <w:rFonts w:hint="eastAsia" w:hAnsi="仿宋" w:cs="Times New Roman"/>
          <w:kern w:val="2"/>
          <w:szCs w:val="32"/>
          <w:lang w:val="en-US" w:eastAsia="zh-CN"/>
        </w:rPr>
        <w:t>首次</w:t>
      </w:r>
      <w:r>
        <w:rPr>
          <w:rFonts w:hint="default" w:hAnsi="仿宋" w:cs="Times New Roman"/>
          <w:kern w:val="2"/>
          <w:szCs w:val="32"/>
        </w:rPr>
        <w:t>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（二）因继承或者遗赠取得房地产的转移登记；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（三）因人民法院已经发生法律效力的判决、裁定和调解而取得房地产权利的有关登记；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（四）变更登记；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hAnsi="仿宋" w:cs="Times New Roman"/>
          <w:kern w:val="2"/>
          <w:szCs w:val="32"/>
          <w:lang w:val="en-US" w:eastAsia="zh-CN"/>
        </w:rPr>
      </w:pPr>
      <w:r>
        <w:rPr>
          <w:rFonts w:hint="default" w:hAnsi="仿宋" w:cs="Times New Roman"/>
          <w:kern w:val="2"/>
          <w:szCs w:val="32"/>
        </w:rPr>
        <w:t>（五）</w:t>
      </w:r>
      <w:r>
        <w:rPr>
          <w:rFonts w:hint="eastAsia" w:hAnsi="仿宋" w:cs="Times New Roman"/>
          <w:kern w:val="2"/>
          <w:szCs w:val="32"/>
          <w:lang w:val="en-US" w:eastAsia="zh-CN"/>
        </w:rPr>
        <w:t>因土地使用年期届满的注销登记；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hAnsi="仿宋" w:eastAsia="仿宋_GB2312" w:cs="Times New Roman"/>
          <w:kern w:val="2"/>
          <w:szCs w:val="32"/>
          <w:lang w:eastAsia="zh-CN"/>
        </w:rPr>
      </w:pPr>
      <w:r>
        <w:rPr>
          <w:rFonts w:hint="default" w:hAnsi="仿宋" w:cs="Times New Roman"/>
          <w:kern w:val="2"/>
          <w:szCs w:val="32"/>
        </w:rPr>
        <w:t>（六）因</w:t>
      </w:r>
      <w:r>
        <w:rPr>
          <w:rFonts w:hint="eastAsia" w:hAnsi="仿宋" w:cs="Times New Roman"/>
          <w:kern w:val="2"/>
          <w:szCs w:val="32"/>
          <w:lang w:eastAsia="zh-CN"/>
        </w:rPr>
        <w:t>不动产权属证书</w:t>
      </w:r>
      <w:r>
        <w:rPr>
          <w:rFonts w:hint="default" w:hAnsi="仿宋" w:cs="Times New Roman"/>
          <w:kern w:val="2"/>
          <w:szCs w:val="32"/>
        </w:rPr>
        <w:t>灭失、破损而重新申领、换领</w:t>
      </w:r>
      <w:r>
        <w:rPr>
          <w:rFonts w:hint="eastAsia" w:hAnsi="仿宋" w:cs="Times New Roman"/>
          <w:kern w:val="2"/>
          <w:szCs w:val="32"/>
          <w:lang w:eastAsia="zh-CN"/>
        </w:rPr>
        <w:t>不动产权属证书</w:t>
      </w:r>
      <w:r>
        <w:rPr>
          <w:rFonts w:hint="default" w:hAnsi="仿宋" w:cs="Times New Roman"/>
          <w:kern w:val="2"/>
          <w:szCs w:val="32"/>
        </w:rPr>
        <w:t>等其他登记</w:t>
      </w:r>
      <w:r>
        <w:rPr>
          <w:rFonts w:hint="eastAsia" w:hAnsi="仿宋" w:cs="Times New Roman"/>
          <w:kern w:val="2"/>
          <w:szCs w:val="32"/>
          <w:lang w:eastAsia="zh-CN"/>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第十四条</w:t>
      </w:r>
      <w:r>
        <w:rPr>
          <w:rFonts w:hint="default" w:hAnsi="仿宋" w:cs="Times New Roman"/>
          <w:kern w:val="2"/>
          <w:szCs w:val="32"/>
        </w:rPr>
        <w:t>　登记机构对下列情形径为登记：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ascii="仿宋_GB2312" w:hAnsi="仿宋" w:eastAsia="仿宋_GB2312" w:cs="仿宋_GB2312"/>
          <w:i w:val="0"/>
          <w:iCs w:val="0"/>
          <w:kern w:val="0"/>
          <w:sz w:val="32"/>
          <w:szCs w:val="32"/>
          <w:u w:val="none"/>
        </w:rPr>
        <w:t>依法由登记机构代管或者</w:t>
      </w:r>
      <w:r>
        <w:rPr>
          <w:rFonts w:hint="default" w:hAnsi="仿宋" w:cs="Times New Roman"/>
          <w:kern w:val="2"/>
          <w:szCs w:val="32"/>
        </w:rPr>
        <w:t>被人民法院裁定为无主房地产的；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（二）抵押期限届满，当事人不</w:t>
      </w:r>
      <w:r>
        <w:rPr>
          <w:rFonts w:hint="eastAsia" w:hAnsi="仿宋" w:cs="Times New Roman"/>
          <w:kern w:val="2"/>
          <w:szCs w:val="32"/>
          <w:lang w:eastAsia="zh-CN"/>
        </w:rPr>
        <w:t>按</w:t>
      </w:r>
      <w:r>
        <w:rPr>
          <w:rFonts w:hint="default" w:hAnsi="仿宋" w:cs="Times New Roman"/>
          <w:kern w:val="2"/>
          <w:szCs w:val="32"/>
        </w:rPr>
        <w:t>期注销登记的；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（三）土地使用年期届满，当事人未</w:t>
      </w:r>
      <w:r>
        <w:rPr>
          <w:rFonts w:hint="eastAsia" w:hAnsi="仿宋" w:cs="Times New Roman"/>
          <w:kern w:val="2"/>
          <w:szCs w:val="32"/>
          <w:lang w:eastAsia="zh-CN"/>
        </w:rPr>
        <w:t>按照</w:t>
      </w:r>
      <w:r>
        <w:rPr>
          <w:rFonts w:hint="default" w:hAnsi="仿宋" w:cs="Times New Roman"/>
          <w:kern w:val="2"/>
          <w:szCs w:val="32"/>
        </w:rPr>
        <w:t>规定注销登记的；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（四）本条例</w:t>
      </w:r>
      <w:r>
        <w:rPr>
          <w:rFonts w:hint="eastAsia" w:ascii="仿宋_GB2312" w:hAnsi="仿宋" w:eastAsia="仿宋_GB2312" w:cs="仿宋_GB2312"/>
          <w:i w:val="0"/>
          <w:iCs w:val="0"/>
          <w:kern w:val="0"/>
          <w:sz w:val="32"/>
          <w:szCs w:val="32"/>
          <w:u w:val="none"/>
        </w:rPr>
        <w:t>第二十条第一款第（一）项至第（五）项</w:t>
      </w:r>
      <w:r>
        <w:rPr>
          <w:rFonts w:hint="default" w:hAnsi="仿宋" w:cs="Times New Roman"/>
          <w:kern w:val="2"/>
          <w:szCs w:val="32"/>
        </w:rPr>
        <w:t>规定的。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登记机构径为登记完毕，应当将登记结果公告。</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第十五条</w:t>
      </w:r>
      <w:r>
        <w:rPr>
          <w:rFonts w:hint="default" w:hAnsi="仿宋" w:cs="Times New Roman"/>
          <w:kern w:val="2"/>
          <w:szCs w:val="32"/>
        </w:rPr>
        <w:t>　登记机构收到申请人的申请登记文件之日，为申请登记日。</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两个或者两个以上的申请人对同一房地产申请登记的，</w:t>
      </w:r>
      <w:r>
        <w:rPr>
          <w:rFonts w:hint="eastAsia" w:hAnsi="仿宋" w:cs="Times New Roman"/>
          <w:kern w:val="2"/>
          <w:szCs w:val="32"/>
          <w:lang w:eastAsia="zh-CN"/>
        </w:rPr>
        <w:t>按照</w:t>
      </w:r>
      <w:r>
        <w:rPr>
          <w:rFonts w:hint="default" w:hAnsi="仿宋" w:cs="Times New Roman"/>
          <w:kern w:val="2"/>
          <w:szCs w:val="32"/>
        </w:rPr>
        <w:t>受理登记申请编号先后顺序予以审查。</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第十六条</w:t>
      </w:r>
      <w:r>
        <w:rPr>
          <w:rFonts w:hint="default" w:hAnsi="仿宋" w:cs="Times New Roman"/>
          <w:kern w:val="2"/>
          <w:szCs w:val="32"/>
        </w:rPr>
        <w:t>　提交申请登记的文件应当为正本。不能提交正本的，可以提交复印件，经登记机构核实无误后，加盖核对章收存。</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第十七条</w:t>
      </w:r>
      <w:r>
        <w:rPr>
          <w:rFonts w:hint="default" w:hAnsi="仿宋" w:cs="Times New Roman"/>
          <w:kern w:val="2"/>
          <w:szCs w:val="32"/>
        </w:rPr>
        <w:t>　申请房地产登记，申请人可以委托他人代理。</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由代理人办理申请登记的，应当向登记机构提交申请人的委托书。境外申请人的委托书应当</w:t>
      </w:r>
      <w:r>
        <w:rPr>
          <w:rFonts w:hint="eastAsia" w:hAnsi="仿宋" w:cs="Times New Roman"/>
          <w:kern w:val="2"/>
          <w:szCs w:val="32"/>
          <w:lang w:eastAsia="zh-CN"/>
        </w:rPr>
        <w:t>按规定经过公证或者认证</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第十八条</w:t>
      </w:r>
      <w:r>
        <w:rPr>
          <w:rFonts w:hint="default" w:hAnsi="仿宋" w:cs="Times New Roman"/>
          <w:kern w:val="2"/>
          <w:szCs w:val="32"/>
        </w:rPr>
        <w:t>　法律、行政法规规定以及当事人约定应当经公证机关公证的，申请房地产登记时，申请人应当提供公证文书。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十九</w:t>
      </w:r>
      <w:r>
        <w:rPr>
          <w:rFonts w:hint="eastAsia" w:ascii="黑体" w:hAnsi="黑体" w:eastAsia="黑体" w:cs="黑体"/>
          <w:kern w:val="2"/>
          <w:szCs w:val="32"/>
        </w:rPr>
        <w:t>条</w:t>
      </w:r>
      <w:r>
        <w:rPr>
          <w:rFonts w:hint="default" w:hAnsi="仿宋" w:cs="Times New Roman"/>
          <w:kern w:val="2"/>
          <w:szCs w:val="32"/>
        </w:rPr>
        <w:t>　应当登记而逾期未登记的房地产，经登记机构公告满一年后仍无人申请登记的，由登记机构代管，代管期为三年。</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代管期间申请登记办理登记的，权利人应当支付实际发生的代管费用。</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代管期间届满仍无人申请登记的，由登记机构向人民法院提出确认无主财产的请求。</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仿宋_GB2312" w:hAnsi="仿宋_GB2312" w:eastAsia="黑体" w:cs="仿宋_GB2312"/>
          <w:b w:val="0"/>
          <w:bCs/>
          <w:i w:val="0"/>
          <w:iCs/>
          <w:sz w:val="32"/>
          <w:szCs w:val="32"/>
          <w:u w:val="none"/>
        </w:rPr>
        <w:t>第二十条</w:t>
      </w:r>
      <w:r>
        <w:rPr>
          <w:rFonts w:hint="eastAsia" w:hAnsi="仿宋_GB2312" w:eastAsia="黑体" w:cs="仿宋_GB2312"/>
          <w:b w:val="0"/>
          <w:bCs/>
          <w:i w:val="0"/>
          <w:iCs/>
          <w:sz w:val="32"/>
          <w:szCs w:val="32"/>
          <w:u w:val="none"/>
          <w:lang w:val="en-US" w:eastAsia="zh-CN"/>
        </w:rPr>
        <w:t xml:space="preserve">  </w:t>
      </w:r>
      <w:r>
        <w:rPr>
          <w:rFonts w:hint="default" w:hAnsi="仿宋" w:cs="Times New Roman"/>
          <w:kern w:val="2"/>
          <w:szCs w:val="32"/>
        </w:rPr>
        <w:t>除下列情形外，任何</w:t>
      </w:r>
      <w:r>
        <w:rPr>
          <w:rFonts w:hint="eastAsia" w:hAnsi="仿宋" w:cs="Times New Roman"/>
          <w:kern w:val="2"/>
          <w:szCs w:val="32"/>
          <w:lang w:val="en-US" w:eastAsia="zh-CN"/>
        </w:rPr>
        <w:t>组织</w:t>
      </w:r>
      <w:r>
        <w:rPr>
          <w:rFonts w:hint="default" w:hAnsi="仿宋" w:cs="Times New Roman"/>
          <w:kern w:val="2"/>
          <w:szCs w:val="32"/>
        </w:rPr>
        <w:t>和个人不得没收、查封已经依法登记的房地产或者以其他形式限制权利人的房地产权利：</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（一）登记机构依</w:t>
      </w:r>
      <w:r>
        <w:rPr>
          <w:rFonts w:hint="eastAsia" w:hAnsi="仿宋" w:cs="Times New Roman"/>
          <w:kern w:val="2"/>
          <w:szCs w:val="32"/>
          <w:lang w:val="en-US" w:eastAsia="zh-CN"/>
        </w:rPr>
        <w:t>照</w:t>
      </w:r>
      <w:r>
        <w:rPr>
          <w:rFonts w:hint="default" w:hAnsi="仿宋" w:cs="Times New Roman"/>
          <w:kern w:val="2"/>
          <w:szCs w:val="32"/>
        </w:rPr>
        <w:t>本条例规定作出撤销登记决定的；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（二）人民法院依法作出的已经生效的没收房地产、查封房地产、撤销登记或者以其他形式限制房地产权利的判决、裁定的；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（三）公安、检察机关依法对已立案的案件，根据案情需要查封房地产或者以其他形式限制房地产权利而作出决定的；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（四）市</w:t>
      </w:r>
      <w:r>
        <w:rPr>
          <w:rFonts w:hint="eastAsia" w:hAnsi="仿宋" w:cs="Times New Roman"/>
          <w:kern w:val="2"/>
          <w:szCs w:val="32"/>
          <w:lang w:val="en-US" w:eastAsia="zh-CN"/>
        </w:rPr>
        <w:t>人民</w:t>
      </w:r>
      <w:r>
        <w:rPr>
          <w:rFonts w:hint="default" w:hAnsi="仿宋" w:cs="Times New Roman"/>
          <w:kern w:val="2"/>
          <w:szCs w:val="32"/>
        </w:rPr>
        <w:t>政府或者市</w:t>
      </w:r>
      <w:r>
        <w:rPr>
          <w:rFonts w:hint="eastAsia" w:hAnsi="仿宋" w:cs="Times New Roman"/>
          <w:kern w:val="2"/>
          <w:szCs w:val="32"/>
          <w:lang w:val="en-US" w:eastAsia="zh-CN"/>
        </w:rPr>
        <w:t>规划和自然资源</w:t>
      </w:r>
      <w:r>
        <w:rPr>
          <w:rFonts w:hint="default" w:hAnsi="仿宋" w:cs="Times New Roman"/>
          <w:kern w:val="2"/>
          <w:szCs w:val="32"/>
        </w:rPr>
        <w:t>部门依法作出没收、收回、征用土地或者以其他形式限制房地产权利决定的；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（五）法律、法规规定的其他情形。</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依</w:t>
      </w:r>
      <w:r>
        <w:rPr>
          <w:rFonts w:hint="eastAsia" w:hAnsi="仿宋" w:cs="Times New Roman"/>
          <w:kern w:val="2"/>
          <w:szCs w:val="32"/>
          <w:lang w:val="en-US" w:eastAsia="zh-CN"/>
        </w:rPr>
        <w:t>照</w:t>
      </w:r>
      <w:r>
        <w:rPr>
          <w:rFonts w:hint="default" w:hAnsi="仿宋" w:cs="Times New Roman"/>
          <w:kern w:val="2"/>
          <w:szCs w:val="32"/>
        </w:rPr>
        <w:t>上款各项作出的判决、裁定、决定应当发送登记机构。登记机构根据判决、裁定、决定径为登记。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查封或者限制的内容、期限应当在裁定书、决定书中详细列明。期限届满后，登记机构径为注销查封或者限制登记。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仿宋_GB2312" w:hAnsi="仿宋_GB2312" w:eastAsia="黑体" w:cs="仿宋_GB2312"/>
          <w:b w:val="0"/>
          <w:bCs/>
          <w:i w:val="0"/>
          <w:iCs/>
          <w:kern w:val="0"/>
          <w:sz w:val="32"/>
          <w:szCs w:val="32"/>
          <w:u w:val="none"/>
          <w:lang w:val="en-US" w:eastAsia="zh-CN"/>
        </w:rPr>
        <w:t xml:space="preserve"> </w:t>
      </w:r>
      <w:r>
        <w:rPr>
          <w:rFonts w:hint="eastAsia" w:ascii="仿宋_GB2312" w:hAnsi="仿宋_GB2312" w:eastAsia="黑体" w:cs="仿宋_GB2312"/>
          <w:b w:val="0"/>
          <w:bCs/>
          <w:i w:val="0"/>
          <w:iCs/>
          <w:kern w:val="0"/>
          <w:sz w:val="32"/>
          <w:szCs w:val="32"/>
          <w:u w:val="none"/>
        </w:rPr>
        <w:t>第二十一条</w:t>
      </w:r>
      <w:r>
        <w:rPr>
          <w:rFonts w:hint="eastAsia" w:ascii="黑体" w:hAnsi="仿宋" w:eastAsia="黑体" w:cs="仿宋_GB2312"/>
          <w:i w:val="0"/>
          <w:iCs/>
          <w:kern w:val="0"/>
          <w:sz w:val="32"/>
          <w:szCs w:val="32"/>
          <w:u w:val="none"/>
        </w:rPr>
        <w:t xml:space="preserve">  </w:t>
      </w:r>
      <w:r>
        <w:rPr>
          <w:rFonts w:hint="eastAsia" w:ascii="仿宋_GB2312" w:hAnsi="仿宋" w:eastAsia="仿宋_GB2312" w:cs="仿宋_GB2312"/>
          <w:i w:val="0"/>
          <w:iCs/>
          <w:sz w:val="32"/>
          <w:szCs w:val="32"/>
          <w:u w:val="none"/>
        </w:rPr>
        <w:t>查封房地产或者以其他形式限制房地产权利，期限届满后需要继续查封或者限制的，有关机关应当在期限届满前作出继续查封或者限制的裁定、决定，并发送登记机构。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ascii="黑体" w:hAnsi="黑体" w:eastAsia="黑体" w:cs="黑体"/>
          <w:kern w:val="2"/>
          <w:szCs w:val="32"/>
        </w:rPr>
      </w:pPr>
      <w:r>
        <w:rPr>
          <w:rFonts w:ascii="黑体" w:hAnsi="黑体" w:eastAsia="黑体" w:cs="黑体"/>
          <w:kern w:val="2"/>
          <w:szCs w:val="32"/>
        </w:rPr>
        <w:t>第三章　登记程序</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bookmarkStart w:id="1" w:name="_Toc924785C87E335A8BA586CC1D6F39D11B"/>
      <w:r>
        <w:rPr>
          <w:rFonts w:hint="eastAsia" w:ascii="楷体_GB2312" w:hAnsi="Times New Roman" w:eastAsia="楷体_GB2312" w:cs="Times New Roman"/>
          <w:color w:val="000000"/>
          <w:kern w:val="2"/>
          <w:szCs w:val="32"/>
        </w:rPr>
        <w:t>第一节　程序通</w:t>
      </w:r>
      <w:r>
        <w:rPr>
          <w:rFonts w:hint="eastAsia" w:ascii="楷体_GB2312" w:hAnsi="Times New Roman" w:eastAsia="楷体_GB2312" w:cs="Times New Roman"/>
          <w:color w:val="000000"/>
          <w:kern w:val="2"/>
          <w:sz w:val="32"/>
          <w:szCs w:val="32"/>
          <w:lang w:val="en-US" w:eastAsia="zh-CN"/>
        </w:rPr>
        <w:t>则</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黑体" w:hAnsi="黑体" w:eastAsia="黑体" w:cs="黑体"/>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第二十二条</w:t>
      </w:r>
      <w:r>
        <w:rPr>
          <w:rFonts w:hint="eastAsia" w:hAnsi="仿宋" w:cs="Times New Roman"/>
          <w:kern w:val="2"/>
          <w:szCs w:val="32"/>
          <w:lang w:val="en-US" w:eastAsia="zh-CN"/>
        </w:rPr>
        <w:t xml:space="preserve">  </w:t>
      </w:r>
      <w:r>
        <w:rPr>
          <w:rFonts w:hint="default" w:hAnsi="仿宋" w:cs="Times New Roman"/>
          <w:kern w:val="2"/>
          <w:szCs w:val="32"/>
        </w:rPr>
        <w:t>房地产登记</w:t>
      </w:r>
      <w:r>
        <w:rPr>
          <w:rFonts w:hint="eastAsia" w:hAnsi="仿宋" w:cs="Times New Roman"/>
          <w:kern w:val="2"/>
          <w:szCs w:val="32"/>
          <w:lang w:eastAsia="zh-CN"/>
        </w:rPr>
        <w:t>按照</w:t>
      </w:r>
      <w:r>
        <w:rPr>
          <w:rFonts w:hint="default" w:hAnsi="仿宋" w:cs="Times New Roman"/>
          <w:kern w:val="2"/>
          <w:szCs w:val="32"/>
        </w:rPr>
        <w:t>下列程序办理：</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（一）提出申请；</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（二）受理申请；</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（三）审查申请文件；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（四）权属调查；</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（五）依</w:t>
      </w:r>
      <w:r>
        <w:rPr>
          <w:rFonts w:hint="eastAsia" w:hAnsi="仿宋" w:cs="Times New Roman"/>
          <w:kern w:val="2"/>
          <w:szCs w:val="32"/>
          <w:lang w:val="en-US" w:eastAsia="zh-CN"/>
        </w:rPr>
        <w:t>照</w:t>
      </w:r>
      <w:r>
        <w:rPr>
          <w:rFonts w:hint="default" w:hAnsi="仿宋" w:cs="Times New Roman"/>
          <w:kern w:val="2"/>
          <w:szCs w:val="32"/>
        </w:rPr>
        <w:t>本条例规定公告；</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（六）确认房地产权利；</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（七）将登记事项记载在</w:t>
      </w:r>
      <w:r>
        <w:rPr>
          <w:rFonts w:hint="eastAsia" w:hAnsi="仿宋" w:cs="Times New Roman"/>
          <w:kern w:val="2"/>
          <w:szCs w:val="32"/>
          <w:lang w:eastAsia="zh-CN"/>
        </w:rPr>
        <w:t>不动产登记簿</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（八）计收规费并颁发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（九）立卷归档。</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0"/>
          <w:sz w:val="32"/>
          <w:szCs w:val="32"/>
          <w:u w:val="none"/>
          <w:lang w:val="en-US" w:eastAsia="zh-CN" w:bidi="ar-SA"/>
        </w:rPr>
        <w:t>第二十三条</w:t>
      </w:r>
      <w:r>
        <w:rPr>
          <w:rFonts w:hint="default" w:hAnsi="仿宋" w:cs="Times New Roman"/>
          <w:kern w:val="2"/>
          <w:szCs w:val="32"/>
        </w:rPr>
        <w:t>　申请房地产登记，</w:t>
      </w:r>
      <w:r>
        <w:rPr>
          <w:rFonts w:hint="eastAsia" w:hAnsi="仿宋" w:cs="Times New Roman"/>
          <w:kern w:val="2"/>
          <w:szCs w:val="32"/>
          <w:lang w:eastAsia="zh-CN"/>
        </w:rPr>
        <w:t>应当按照</w:t>
      </w:r>
      <w:r>
        <w:rPr>
          <w:rFonts w:hint="default" w:hAnsi="仿宋" w:cs="Times New Roman"/>
          <w:kern w:val="2"/>
          <w:szCs w:val="32"/>
        </w:rPr>
        <w:t>本条例规定的时间提交申请书及有关文件。当事人因不</w:t>
      </w:r>
      <w:r>
        <w:rPr>
          <w:rFonts w:hint="eastAsia" w:hAnsi="仿宋" w:cs="Times New Roman"/>
          <w:kern w:val="2"/>
          <w:szCs w:val="32"/>
          <w:lang w:eastAsia="zh-CN"/>
        </w:rPr>
        <w:t>可</w:t>
      </w:r>
      <w:r>
        <w:rPr>
          <w:rFonts w:hint="default" w:hAnsi="仿宋" w:cs="Times New Roman"/>
          <w:kern w:val="2"/>
          <w:szCs w:val="32"/>
        </w:rPr>
        <w:t>抗力</w:t>
      </w:r>
      <w:r>
        <w:rPr>
          <w:rFonts w:hint="eastAsia" w:hAnsi="仿宋" w:cs="Times New Roman"/>
          <w:kern w:val="2"/>
          <w:szCs w:val="32"/>
          <w:lang w:eastAsia="zh-CN"/>
        </w:rPr>
        <w:t>或者</w:t>
      </w:r>
      <w:r>
        <w:rPr>
          <w:rFonts w:hint="default" w:hAnsi="仿宋" w:cs="Times New Roman"/>
          <w:kern w:val="2"/>
          <w:szCs w:val="32"/>
        </w:rPr>
        <w:t>其他正当理由不能在规定的期限内申请登记的，在障碍消除后的五日内，顺延登记期限。</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申请人</w:t>
      </w:r>
      <w:r>
        <w:rPr>
          <w:rFonts w:hint="eastAsia" w:hAnsi="仿宋" w:cs="Times New Roman"/>
          <w:kern w:val="2"/>
          <w:szCs w:val="32"/>
          <w:lang w:eastAsia="zh-CN"/>
        </w:rPr>
        <w:t>应当</w:t>
      </w:r>
      <w:r>
        <w:rPr>
          <w:rFonts w:hint="default" w:hAnsi="仿宋" w:cs="Times New Roman"/>
          <w:kern w:val="2"/>
          <w:szCs w:val="32"/>
        </w:rPr>
        <w:t>对其所提交申请文件的真实性负责。</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申请文件不齐全</w:t>
      </w:r>
      <w:r>
        <w:rPr>
          <w:rFonts w:hint="eastAsia" w:hAnsi="仿宋" w:cs="Times New Roman"/>
          <w:kern w:val="2"/>
          <w:szCs w:val="32"/>
          <w:lang w:eastAsia="zh-CN"/>
        </w:rPr>
        <w:t>或者</w:t>
      </w:r>
      <w:r>
        <w:rPr>
          <w:rFonts w:hint="default" w:hAnsi="仿宋" w:cs="Times New Roman"/>
          <w:kern w:val="2"/>
          <w:szCs w:val="32"/>
        </w:rPr>
        <w:t>不符合规定的，登记机构不予受理。</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登记机构在受理申请人的申请后，</w:t>
      </w:r>
      <w:r>
        <w:rPr>
          <w:rFonts w:hint="eastAsia" w:hAnsi="仿宋" w:cs="Times New Roman"/>
          <w:kern w:val="2"/>
          <w:szCs w:val="32"/>
          <w:lang w:eastAsia="zh-CN"/>
        </w:rPr>
        <w:t>应当</w:t>
      </w:r>
      <w:r>
        <w:rPr>
          <w:rFonts w:hint="default" w:hAnsi="仿宋" w:cs="Times New Roman"/>
          <w:kern w:val="2"/>
          <w:szCs w:val="32"/>
        </w:rPr>
        <w:t>予</w:t>
      </w:r>
      <w:r>
        <w:rPr>
          <w:rFonts w:hint="eastAsia" w:hAnsi="仿宋" w:cs="Times New Roman"/>
          <w:kern w:val="2"/>
          <w:szCs w:val="32"/>
          <w:lang w:val="en-US" w:eastAsia="zh-CN"/>
        </w:rPr>
        <w:t>以</w:t>
      </w:r>
      <w:r>
        <w:rPr>
          <w:rFonts w:hint="default" w:hAnsi="仿宋" w:cs="Times New Roman"/>
          <w:kern w:val="2"/>
          <w:szCs w:val="32"/>
        </w:rPr>
        <w:t>编号并给回执。</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仿宋_GB2312" w:hAnsi="仿宋_GB2312" w:eastAsia="黑体" w:cs="仿宋_GB2312"/>
          <w:b w:val="0"/>
          <w:bCs/>
          <w:i w:val="0"/>
          <w:iCs/>
          <w:kern w:val="0"/>
          <w:sz w:val="32"/>
          <w:szCs w:val="32"/>
          <w:u w:val="none"/>
          <w:lang w:val="en-US" w:eastAsia="zh-CN" w:bidi="ar-SA"/>
        </w:rPr>
        <w:t>第二十四条</w:t>
      </w:r>
      <w:r>
        <w:rPr>
          <w:rFonts w:hint="default" w:hAnsi="仿宋" w:cs="Times New Roman"/>
          <w:kern w:val="2"/>
          <w:szCs w:val="32"/>
        </w:rPr>
        <w:t>　登记机构应当对下列事项进行审查：</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（一）申请人提交的</w:t>
      </w:r>
      <w:r>
        <w:rPr>
          <w:rFonts w:hint="eastAsia" w:hAnsi="仿宋" w:cs="Times New Roman"/>
          <w:kern w:val="2"/>
          <w:szCs w:val="32"/>
          <w:lang w:eastAsia="zh-CN"/>
        </w:rPr>
        <w:t>不动产权属证书</w:t>
      </w:r>
      <w:r>
        <w:rPr>
          <w:rFonts w:hint="default" w:hAnsi="仿宋" w:cs="Times New Roman"/>
          <w:kern w:val="2"/>
          <w:szCs w:val="32"/>
        </w:rPr>
        <w:t>的真实性；</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（二）各申请文件所证明事实的关联性；</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（三）申请登记主体、申请登记房地产、申请登记内容等申请登记事项与申请文件所证明事实的一致性；</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（四）申请登记事项与</w:t>
      </w:r>
      <w:r>
        <w:rPr>
          <w:rFonts w:hint="eastAsia" w:hAnsi="仿宋" w:cs="Times New Roman"/>
          <w:kern w:val="2"/>
          <w:szCs w:val="32"/>
          <w:lang w:eastAsia="zh-CN"/>
        </w:rPr>
        <w:t>不动产登记簿</w:t>
      </w:r>
      <w:r>
        <w:rPr>
          <w:rFonts w:hint="default" w:hAnsi="仿宋" w:cs="Times New Roman"/>
          <w:kern w:val="2"/>
          <w:szCs w:val="32"/>
        </w:rPr>
        <w:t>记载的房地产权利不冲突；</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（五）不存在本条例规定的不予登记、驳回登记或者暂缓登记的情形。</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申请登记的有关情况需要进一步证明的，登记机构应当要求申请人补充材料或者进一步询问申请人；仍不能证明的，登记机构应当实地查看或者要求申请人提交有关情况的公证书或者其他具有法定证明力的文件。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经审查，申请人的申请符合规定的，登记机构应当在本条例规定的时间内</w:t>
      </w:r>
      <w:r>
        <w:rPr>
          <w:rFonts w:hint="eastAsia" w:hAnsi="仿宋" w:cs="Times New Roman"/>
          <w:kern w:val="2"/>
          <w:szCs w:val="32"/>
          <w:lang w:eastAsia="zh-CN"/>
        </w:rPr>
        <w:t>办理</w:t>
      </w:r>
      <w:r>
        <w:rPr>
          <w:rFonts w:hint="default" w:hAnsi="仿宋" w:cs="Times New Roman"/>
          <w:kern w:val="2"/>
          <w:szCs w:val="32"/>
        </w:rPr>
        <w:t>登记，确认其房地产权利，颁发</w:t>
      </w:r>
      <w:r>
        <w:rPr>
          <w:rFonts w:hint="eastAsia" w:hAnsi="仿宋" w:cs="Times New Roman"/>
          <w:kern w:val="2"/>
          <w:szCs w:val="32"/>
          <w:lang w:eastAsia="zh-CN"/>
        </w:rPr>
        <w:t>不动产权属证书</w:t>
      </w:r>
      <w:r>
        <w:rPr>
          <w:rFonts w:hint="default" w:hAnsi="仿宋" w:cs="Times New Roman"/>
          <w:kern w:val="2"/>
          <w:szCs w:val="32"/>
        </w:rPr>
        <w:t>；对不符合本条例规定的，予以驳回登记申请，并自受理申请之日起三十日内书面通知申请人。</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第二十五条</w:t>
      </w:r>
      <w:r>
        <w:rPr>
          <w:rFonts w:hint="default" w:hAnsi="仿宋" w:cs="Times New Roman"/>
          <w:kern w:val="2"/>
          <w:szCs w:val="32"/>
        </w:rPr>
        <w:t>　申请人对驳回登记申请不服的，</w:t>
      </w:r>
      <w:r>
        <w:rPr>
          <w:rFonts w:hint="eastAsia" w:hAnsi="仿宋" w:cs="Times New Roman"/>
          <w:kern w:val="2"/>
          <w:szCs w:val="32"/>
          <w:lang w:eastAsia="zh-CN"/>
        </w:rPr>
        <w:t>可以</w:t>
      </w:r>
      <w:r>
        <w:rPr>
          <w:rFonts w:hint="default" w:hAnsi="仿宋" w:cs="Times New Roman"/>
          <w:kern w:val="2"/>
          <w:szCs w:val="32"/>
        </w:rPr>
        <w:t>自接到通知书之日起十五日内向登记机构申请复审。</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登记机构应当自收到复审申请书之日起三十日内，对登记申请重新审查，并作出复审决定。申请人对登记机构的复审决定不服的，可以依法申请行政复议，或者向人民法院起诉。</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第二十六条</w:t>
      </w:r>
      <w:r>
        <w:rPr>
          <w:rFonts w:hint="default" w:hAnsi="仿宋" w:cs="Times New Roman"/>
          <w:kern w:val="2"/>
          <w:szCs w:val="32"/>
        </w:rPr>
        <w:t>　有下列情形之一的，登记机构</w:t>
      </w:r>
      <w:r>
        <w:rPr>
          <w:rFonts w:hint="eastAsia" w:hAnsi="仿宋" w:cs="Times New Roman"/>
          <w:kern w:val="2"/>
          <w:szCs w:val="32"/>
          <w:lang w:eastAsia="zh-CN"/>
        </w:rPr>
        <w:t>可以</w:t>
      </w:r>
      <w:r>
        <w:rPr>
          <w:rFonts w:hint="default" w:hAnsi="仿宋" w:cs="Times New Roman"/>
          <w:kern w:val="2"/>
          <w:szCs w:val="32"/>
        </w:rPr>
        <w:t>作出暂缓登记的决定，并书面通知申请人：</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（一）产权纠纷尚未解决的；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（二）涉及违法用地、违章建筑事项，未经处理或者正在处理之中的；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（三）受理申请后发现申请文件需要修正或者补齐的；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（四）发生本条例第</w:t>
      </w:r>
      <w:r>
        <w:rPr>
          <w:rFonts w:hint="eastAsia" w:hAnsi="仿宋" w:cs="Times New Roman"/>
          <w:kern w:val="2"/>
          <w:szCs w:val="32"/>
          <w:lang w:val="en-US" w:eastAsia="zh-CN"/>
        </w:rPr>
        <w:t>二十</w:t>
      </w:r>
      <w:r>
        <w:rPr>
          <w:rFonts w:hint="default" w:hAnsi="仿宋" w:cs="Times New Roman"/>
          <w:kern w:val="2"/>
          <w:szCs w:val="32"/>
        </w:rPr>
        <w:t>条第一款第二项、第三项、第四项、第五项情形而需暂缓登记的；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（五）法律、法规、规章规定应当暂缓登记的其他事由。</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暂缓登记事由消失后，登记机构应当</w:t>
      </w:r>
      <w:r>
        <w:rPr>
          <w:rFonts w:hint="eastAsia" w:hAnsi="仿宋" w:cs="Times New Roman"/>
          <w:kern w:val="2"/>
          <w:szCs w:val="32"/>
          <w:lang w:eastAsia="zh-CN"/>
        </w:rPr>
        <w:t>办理</w:t>
      </w:r>
      <w:r>
        <w:rPr>
          <w:rFonts w:hint="default" w:hAnsi="仿宋" w:cs="Times New Roman"/>
          <w:kern w:val="2"/>
          <w:szCs w:val="32"/>
        </w:rPr>
        <w:t>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楷体_GB2312" w:hAnsi="Times New Roman" w:eastAsia="楷体_GB2312" w:cs="Times New Roman"/>
          <w:color w:val="000000"/>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第二节　</w:t>
      </w:r>
      <w:r>
        <w:rPr>
          <w:rFonts w:hint="eastAsia" w:ascii="楷体_GB2312" w:hAnsi="Times New Roman" w:eastAsia="楷体_GB2312" w:cs="Times New Roman"/>
          <w:color w:val="000000"/>
          <w:kern w:val="2"/>
          <w:szCs w:val="32"/>
          <w:lang w:val="en-US" w:eastAsia="zh-CN"/>
        </w:rPr>
        <w:t>首次</w:t>
      </w:r>
      <w:r>
        <w:rPr>
          <w:rFonts w:hint="eastAsia" w:ascii="楷体_GB2312" w:hAnsi="Times New Roman" w:eastAsia="楷体_GB2312" w:cs="Times New Roman"/>
          <w:color w:val="000000"/>
          <w:kern w:val="2"/>
          <w:szCs w:val="32"/>
        </w:rPr>
        <w:t>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第二十七条</w:t>
      </w:r>
      <w:r>
        <w:rPr>
          <w:rFonts w:hint="default" w:hAnsi="仿宋" w:cs="Times New Roman"/>
          <w:kern w:val="2"/>
          <w:szCs w:val="32"/>
        </w:rPr>
        <w:t>　凡未经登记机构确认其房地产权利、领取</w:t>
      </w:r>
      <w:r>
        <w:rPr>
          <w:rFonts w:hint="eastAsia" w:hAnsi="仿宋" w:cs="Times New Roman"/>
          <w:kern w:val="2"/>
          <w:szCs w:val="32"/>
          <w:lang w:eastAsia="zh-CN"/>
        </w:rPr>
        <w:t>不动产权属证书</w:t>
      </w:r>
      <w:r>
        <w:rPr>
          <w:rFonts w:hint="default" w:hAnsi="仿宋" w:cs="Times New Roman"/>
          <w:kern w:val="2"/>
          <w:szCs w:val="32"/>
        </w:rPr>
        <w:t>的土地使用人以及建筑物、附着物的所有人应当申请</w:t>
      </w:r>
      <w:r>
        <w:rPr>
          <w:rFonts w:hint="eastAsia" w:hAnsi="仿宋" w:cs="Times New Roman"/>
          <w:kern w:val="2"/>
          <w:szCs w:val="32"/>
          <w:lang w:val="en-US" w:eastAsia="zh-CN"/>
        </w:rPr>
        <w:t>首次</w:t>
      </w:r>
      <w:r>
        <w:rPr>
          <w:rFonts w:hint="default" w:hAnsi="仿宋" w:cs="Times New Roman"/>
          <w:kern w:val="2"/>
          <w:szCs w:val="32"/>
        </w:rPr>
        <w:t>登记。</w:t>
      </w:r>
      <w:r>
        <w:rPr>
          <w:rFonts w:hint="eastAsia" w:hAnsi="仿宋" w:cs="Times New Roman"/>
          <w:kern w:val="2"/>
          <w:szCs w:val="32"/>
          <w:lang w:eastAsia="zh-CN"/>
        </w:rPr>
        <w:t>但是</w:t>
      </w:r>
      <w:r>
        <w:rPr>
          <w:rFonts w:hint="default" w:hAnsi="仿宋" w:cs="Times New Roman"/>
          <w:kern w:val="2"/>
          <w:szCs w:val="32"/>
        </w:rPr>
        <w:t>符合本条例</w:t>
      </w:r>
      <w:r>
        <w:rPr>
          <w:rFonts w:hint="default" w:hAnsi="仿宋" w:cs="Times New Roman"/>
          <w:kern w:val="2"/>
          <w:szCs w:val="32"/>
          <w:highlight w:val="none"/>
        </w:rPr>
        <w:t>第</w:t>
      </w:r>
      <w:r>
        <w:rPr>
          <w:rFonts w:hint="eastAsia" w:hAnsi="仿宋" w:cs="Times New Roman"/>
          <w:kern w:val="2"/>
          <w:szCs w:val="32"/>
          <w:highlight w:val="none"/>
          <w:lang w:val="en-US" w:eastAsia="zh-CN"/>
        </w:rPr>
        <w:t>五十八</w:t>
      </w:r>
      <w:r>
        <w:rPr>
          <w:rFonts w:hint="default" w:hAnsi="仿宋" w:cs="Times New Roman"/>
          <w:kern w:val="2"/>
          <w:szCs w:val="32"/>
          <w:highlight w:val="none"/>
        </w:rPr>
        <w:t>条</w:t>
      </w:r>
      <w:r>
        <w:rPr>
          <w:rFonts w:hint="default" w:hAnsi="仿宋" w:cs="Times New Roman"/>
          <w:kern w:val="2"/>
          <w:szCs w:val="32"/>
        </w:rPr>
        <w:t>规定者除外。</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黑体" w:hAnsi="黑体" w:eastAsia="黑体" w:cs="黑体"/>
          <w:kern w:val="2"/>
          <w:szCs w:val="32"/>
        </w:rPr>
      </w:pPr>
      <w:r>
        <w:rPr>
          <w:rFonts w:hint="default" w:ascii="仿宋_GB2312" w:hAnsi="仿宋_GB2312" w:eastAsia="黑体" w:cs="仿宋_GB2312"/>
          <w:b w:val="0"/>
          <w:bCs/>
          <w:i w:val="0"/>
          <w:iCs/>
          <w:sz w:val="32"/>
          <w:szCs w:val="32"/>
          <w:u w:val="none"/>
          <w:lang w:val="en-US" w:eastAsia="zh-CN"/>
        </w:rPr>
        <w:t>第二十八条</w:t>
      </w:r>
      <w:r>
        <w:rPr>
          <w:rFonts w:hint="default" w:ascii="仿宋_GB2312" w:hAnsi="仿宋" w:eastAsia="仿宋_GB2312" w:cs="Times New Roman"/>
          <w:i w:val="0"/>
          <w:iCs/>
          <w:kern w:val="2"/>
          <w:sz w:val="32"/>
          <w:szCs w:val="32"/>
          <w:u w:val="none"/>
          <w:lang w:val="en-US" w:eastAsia="zh-CN" w:bidi="ar-SA"/>
        </w:rPr>
        <w:t>　权利人应当自取得土地使用权之日起三十日内，取得建筑物、附着物竣工验收证明之日起六十日内，申请首次登记。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ascii="仿宋_GB2312" w:hAnsi="仿宋_GB2312" w:eastAsia="黑体" w:cs="仿宋_GB2312"/>
          <w:b w:val="0"/>
          <w:bCs/>
          <w:i w:val="0"/>
          <w:iCs/>
          <w:sz w:val="32"/>
          <w:szCs w:val="32"/>
          <w:u w:val="none"/>
          <w:lang w:val="en-US" w:eastAsia="zh-CN"/>
        </w:rPr>
        <w:t>第二十九条</w:t>
      </w:r>
      <w:r>
        <w:rPr>
          <w:rFonts w:hint="default" w:hAnsi="仿宋" w:cs="Times New Roman"/>
          <w:kern w:val="2"/>
          <w:szCs w:val="32"/>
        </w:rPr>
        <w:t>　申请土地使用权</w:t>
      </w:r>
      <w:r>
        <w:rPr>
          <w:rFonts w:hint="eastAsia" w:hAnsi="仿宋" w:cs="Times New Roman"/>
          <w:kern w:val="2"/>
          <w:szCs w:val="32"/>
          <w:lang w:eastAsia="zh-CN"/>
        </w:rPr>
        <w:t>首次登记应当</w:t>
      </w:r>
      <w:r>
        <w:rPr>
          <w:rFonts w:hint="default" w:hAnsi="仿宋" w:cs="Times New Roman"/>
          <w:kern w:val="2"/>
          <w:szCs w:val="32"/>
        </w:rPr>
        <w:t>提交下列文件：
</w:t>
      </w:r>
      <w:r>
        <w:rPr>
          <w:rFonts w:hint="eastAsia" w:hAnsi="仿宋" w:cs="Times New Roman"/>
          <w:kern w:val="2"/>
          <w:szCs w:val="32"/>
          <w:lang w:val="en-US" w:eastAsia="zh-CN"/>
        </w:rPr>
        <w:t xml:space="preserve">  </w:t>
      </w: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（二）身份证明，包括：个人身份证明，或者企业法人营业执照和法定代表人证明，或者国家机关负责人证明，或者市</w:t>
      </w:r>
      <w:r>
        <w:rPr>
          <w:rFonts w:hint="eastAsia" w:hAnsi="仿宋" w:cs="Times New Roman"/>
          <w:kern w:val="2"/>
          <w:szCs w:val="32"/>
          <w:lang w:val="en-US" w:eastAsia="zh-CN"/>
        </w:rPr>
        <w:t>人民</w:t>
      </w:r>
      <w:r>
        <w:rPr>
          <w:rFonts w:hint="default" w:hAnsi="仿宋" w:cs="Times New Roman"/>
          <w:kern w:val="2"/>
          <w:szCs w:val="32"/>
        </w:rPr>
        <w:t>政府批准设立组织的文件和该组织负责人证明。境外企业、组织提供的身份证明应当</w:t>
      </w:r>
      <w:r>
        <w:rPr>
          <w:rFonts w:hint="eastAsia" w:hAnsi="仿宋" w:cs="Times New Roman"/>
          <w:kern w:val="2"/>
          <w:szCs w:val="32"/>
          <w:lang w:eastAsia="zh-CN"/>
        </w:rPr>
        <w:t>按规定经过公证或者认证</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（三）土地权属证明，包括：</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1．以出让方式取得土地使用权的应当提交：</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（1）土地使用合同书。根据土地使用合同书规定由权利人自行征地的，应当同时提交征地补偿协议书；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（2）付清地价款证明；</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2．以行政划拨方式取得土地使用权的应当提交：</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（1）市</w:t>
      </w:r>
      <w:r>
        <w:rPr>
          <w:rFonts w:hint="eastAsia" w:hAnsi="仿宋" w:cs="Times New Roman"/>
          <w:kern w:val="2"/>
          <w:szCs w:val="32"/>
          <w:lang w:val="en-US" w:eastAsia="zh-CN"/>
        </w:rPr>
        <w:t>人民</w:t>
      </w:r>
      <w:r>
        <w:rPr>
          <w:rFonts w:hint="default" w:hAnsi="仿宋" w:cs="Times New Roman"/>
          <w:kern w:val="2"/>
          <w:szCs w:val="32"/>
        </w:rPr>
        <w:t>政府批准用地文件；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（2）用地红线图；</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（3）征地补偿协议书；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3．以其他合法形式取得土地使用权的，应当提交有关证明文件；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（四）登记机构认可的测量机构出具的实地测绘结果报告书。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第三十条</w:t>
      </w:r>
      <w:r>
        <w:rPr>
          <w:rFonts w:hint="default" w:hAnsi="仿宋" w:cs="Times New Roman"/>
          <w:kern w:val="2"/>
          <w:szCs w:val="32"/>
        </w:rPr>
        <w:t>　申请建筑物、附着物所有权</w:t>
      </w:r>
      <w:r>
        <w:rPr>
          <w:rFonts w:hint="eastAsia" w:hAnsi="仿宋" w:cs="Times New Roman"/>
          <w:kern w:val="2"/>
          <w:szCs w:val="32"/>
          <w:lang w:eastAsia="zh-CN"/>
        </w:rPr>
        <w:t>首次登记</w:t>
      </w:r>
      <w:r>
        <w:rPr>
          <w:rFonts w:hint="default" w:hAnsi="仿宋" w:cs="Times New Roman"/>
          <w:kern w:val="2"/>
          <w:szCs w:val="32"/>
        </w:rPr>
        <w:t>，应当提交下列文件：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（二）申请人身份证明；</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（三）土地使用权属证明；</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（四）建设工程规划验收合格的证明文件；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（五）竣工验收合格的证明文件；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（六）竣工测绘报告；</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（七）竣工结算文件。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第三十一条</w:t>
      </w:r>
      <w:r>
        <w:rPr>
          <w:rFonts w:hint="default" w:hAnsi="仿宋" w:cs="Times New Roman"/>
          <w:kern w:val="2"/>
          <w:szCs w:val="32"/>
        </w:rPr>
        <w:t>　属违法用地、违章建筑，</w:t>
      </w:r>
      <w:r>
        <w:rPr>
          <w:rFonts w:hint="eastAsia" w:hAnsi="仿宋" w:cs="Times New Roman"/>
          <w:kern w:val="2"/>
          <w:szCs w:val="32"/>
          <w:lang w:eastAsia="zh-CN"/>
        </w:rPr>
        <w:t>但是</w:t>
      </w:r>
      <w:r>
        <w:rPr>
          <w:rFonts w:hint="default" w:hAnsi="仿宋" w:cs="Times New Roman"/>
          <w:kern w:val="2"/>
          <w:szCs w:val="32"/>
        </w:rPr>
        <w:t>经处理并准许留用的，申请登记时应当提交行政处罚决定书。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第三十二条</w:t>
      </w:r>
      <w:r>
        <w:rPr>
          <w:rFonts w:hint="default" w:hAnsi="仿宋" w:cs="Times New Roman"/>
          <w:kern w:val="2"/>
          <w:szCs w:val="32"/>
        </w:rPr>
        <w:t>　登记机构应当在</w:t>
      </w:r>
      <w:r>
        <w:rPr>
          <w:rFonts w:hint="eastAsia" w:hAnsi="仿宋" w:cs="Times New Roman"/>
          <w:kern w:val="2"/>
          <w:szCs w:val="32"/>
          <w:lang w:eastAsia="zh-CN"/>
        </w:rPr>
        <w:t>不动产登记簿</w:t>
      </w:r>
      <w:r>
        <w:rPr>
          <w:rFonts w:hint="default" w:hAnsi="仿宋" w:cs="Times New Roman"/>
          <w:kern w:val="2"/>
          <w:szCs w:val="32"/>
        </w:rPr>
        <w:t>和</w:t>
      </w:r>
      <w:r>
        <w:rPr>
          <w:rFonts w:hint="eastAsia" w:hAnsi="仿宋" w:cs="Times New Roman"/>
          <w:kern w:val="2"/>
          <w:szCs w:val="32"/>
          <w:lang w:eastAsia="zh-CN"/>
        </w:rPr>
        <w:t>不动产权属证书</w:t>
      </w:r>
      <w:r>
        <w:rPr>
          <w:rFonts w:hint="default" w:hAnsi="仿宋" w:cs="Times New Roman"/>
          <w:kern w:val="2"/>
          <w:szCs w:val="32"/>
        </w:rPr>
        <w:t>中，根据不同土地权属来源分别标明“行政划拨土地”、“有偿使用土地”、“减地价土地”、“免地价土地”、“商品房”、“保障性住房”等字样。</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保障性住房的具体分类由登记机构依照有关规定确定。</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hAnsi="仿宋" w:cs="Times New Roman"/>
          <w:kern w:val="2"/>
          <w:szCs w:val="32"/>
          <w:lang w:eastAsia="zh-CN"/>
        </w:rPr>
      </w:pPr>
      <w:r>
        <w:rPr>
          <w:rFonts w:hint="default" w:ascii="仿宋_GB2312" w:hAnsi="仿宋_GB2312" w:eastAsia="黑体" w:cs="仿宋_GB2312"/>
          <w:b w:val="0"/>
          <w:bCs/>
          <w:i w:val="0"/>
          <w:iCs/>
          <w:sz w:val="32"/>
          <w:szCs w:val="32"/>
          <w:u w:val="none"/>
          <w:lang w:val="en-US" w:eastAsia="zh-CN"/>
        </w:rPr>
        <w:t>第三十三条</w:t>
      </w:r>
      <w:r>
        <w:rPr>
          <w:rFonts w:hint="default" w:hAnsi="仿宋" w:cs="Times New Roman"/>
          <w:kern w:val="2"/>
          <w:szCs w:val="32"/>
        </w:rPr>
        <w:t>　</w:t>
      </w:r>
      <w:r>
        <w:rPr>
          <w:rFonts w:hint="eastAsia" w:hAnsi="仿宋" w:cs="Times New Roman"/>
          <w:kern w:val="2"/>
          <w:szCs w:val="32"/>
          <w:lang w:eastAsia="zh-CN"/>
        </w:rPr>
        <w:t>登记机构应当自受理登记申请之日起三十个工作日内办结不动产登记手续，但是法律另有规定的除外。</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eastAsia="zh-CN"/>
        </w:rPr>
        <w:t>登记机构完成登记，应当依法向申请人核发不动产权属证书。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第三十</w:t>
      </w:r>
      <w:r>
        <w:rPr>
          <w:rFonts w:hint="eastAsia" w:hAnsi="仿宋_GB2312" w:eastAsia="黑体" w:cs="仿宋_GB2312"/>
          <w:b w:val="0"/>
          <w:bCs/>
          <w:i w:val="0"/>
          <w:iCs/>
          <w:sz w:val="32"/>
          <w:szCs w:val="32"/>
          <w:u w:val="none"/>
          <w:lang w:val="en-US" w:eastAsia="zh-CN"/>
        </w:rPr>
        <w:t>四</w:t>
      </w:r>
      <w:r>
        <w:rPr>
          <w:rFonts w:hint="default" w:ascii="仿宋_GB2312" w:hAnsi="仿宋_GB2312" w:eastAsia="黑体" w:cs="仿宋_GB2312"/>
          <w:b w:val="0"/>
          <w:bCs/>
          <w:i w:val="0"/>
          <w:iCs/>
          <w:sz w:val="32"/>
          <w:szCs w:val="32"/>
          <w:u w:val="none"/>
          <w:lang w:val="en-US" w:eastAsia="zh-CN"/>
        </w:rPr>
        <w:t>条</w:t>
      </w:r>
      <w:r>
        <w:rPr>
          <w:rFonts w:hint="default" w:hAnsi="仿宋" w:cs="Times New Roman"/>
          <w:kern w:val="2"/>
          <w:szCs w:val="32"/>
        </w:rPr>
        <w:t>　土地使用年期届满，经批准续期使用的，应当</w:t>
      </w:r>
      <w:r>
        <w:rPr>
          <w:rFonts w:hint="eastAsia" w:hAnsi="仿宋" w:cs="Times New Roman"/>
          <w:kern w:val="2"/>
          <w:szCs w:val="32"/>
          <w:lang w:eastAsia="zh-CN"/>
        </w:rPr>
        <w:t>按照</w:t>
      </w:r>
      <w:r>
        <w:rPr>
          <w:rFonts w:hint="default" w:hAnsi="仿宋" w:cs="Times New Roman"/>
          <w:kern w:val="2"/>
          <w:szCs w:val="32"/>
        </w:rPr>
        <w:t>本节规定办理</w:t>
      </w:r>
      <w:r>
        <w:rPr>
          <w:rFonts w:hint="eastAsia" w:hAnsi="仿宋" w:cs="Times New Roman"/>
          <w:kern w:val="2"/>
          <w:szCs w:val="32"/>
          <w:lang w:eastAsia="zh-CN"/>
        </w:rPr>
        <w:t>首次登记</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已办理</w:t>
      </w:r>
      <w:r>
        <w:rPr>
          <w:rFonts w:hint="eastAsia" w:hAnsi="仿宋" w:cs="Times New Roman"/>
          <w:kern w:val="2"/>
          <w:szCs w:val="32"/>
          <w:lang w:eastAsia="zh-CN"/>
        </w:rPr>
        <w:t>首次登记</w:t>
      </w:r>
      <w:r>
        <w:rPr>
          <w:rFonts w:hint="default" w:hAnsi="仿宋" w:cs="Times New Roman"/>
          <w:kern w:val="2"/>
          <w:szCs w:val="32"/>
        </w:rPr>
        <w:t>的房地产增加面积的，增加部分应当</w:t>
      </w:r>
      <w:r>
        <w:rPr>
          <w:rFonts w:hint="eastAsia" w:hAnsi="仿宋" w:cs="Times New Roman"/>
          <w:kern w:val="2"/>
          <w:szCs w:val="32"/>
          <w:lang w:eastAsia="zh-CN"/>
        </w:rPr>
        <w:t>按照</w:t>
      </w:r>
      <w:r>
        <w:rPr>
          <w:rFonts w:hint="default" w:hAnsi="仿宋" w:cs="Times New Roman"/>
          <w:kern w:val="2"/>
          <w:szCs w:val="32"/>
        </w:rPr>
        <w:t>本节规定办理</w:t>
      </w:r>
      <w:r>
        <w:rPr>
          <w:rFonts w:hint="eastAsia" w:hAnsi="仿宋" w:cs="Times New Roman"/>
          <w:kern w:val="2"/>
          <w:szCs w:val="32"/>
          <w:lang w:eastAsia="zh-CN"/>
        </w:rPr>
        <w:t>首次登记</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hint="eastAsia"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第三节　转移登记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第三十</w:t>
      </w:r>
      <w:r>
        <w:rPr>
          <w:rFonts w:hint="eastAsia" w:hAnsi="仿宋_GB2312" w:eastAsia="黑体" w:cs="仿宋_GB2312"/>
          <w:b w:val="0"/>
          <w:bCs/>
          <w:i w:val="0"/>
          <w:iCs/>
          <w:kern w:val="2"/>
          <w:sz w:val="32"/>
          <w:szCs w:val="32"/>
          <w:u w:val="none"/>
          <w:lang w:val="en-US" w:eastAsia="zh-CN" w:bidi="ar-SA"/>
        </w:rPr>
        <w:t>五</w:t>
      </w:r>
      <w:r>
        <w:rPr>
          <w:rFonts w:hint="default" w:ascii="仿宋_GB2312" w:hAnsi="仿宋_GB2312" w:eastAsia="黑体" w:cs="仿宋_GB2312"/>
          <w:b w:val="0"/>
          <w:bCs/>
          <w:i w:val="0"/>
          <w:iCs/>
          <w:kern w:val="2"/>
          <w:sz w:val="32"/>
          <w:szCs w:val="32"/>
          <w:u w:val="none"/>
          <w:lang w:val="en-US" w:eastAsia="zh-CN" w:bidi="ar-SA"/>
        </w:rPr>
        <w:t>条</w:t>
      </w:r>
      <w:r>
        <w:rPr>
          <w:rFonts w:hint="default" w:hAnsi="仿宋" w:cs="Times New Roman"/>
          <w:kern w:val="2"/>
          <w:szCs w:val="32"/>
        </w:rPr>
        <w:t>　经</w:t>
      </w:r>
      <w:r>
        <w:rPr>
          <w:rFonts w:hint="eastAsia" w:hAnsi="仿宋" w:cs="Times New Roman"/>
          <w:kern w:val="2"/>
          <w:szCs w:val="32"/>
          <w:lang w:eastAsia="zh-CN"/>
        </w:rPr>
        <w:t>首次登记</w:t>
      </w:r>
      <w:r>
        <w:rPr>
          <w:rFonts w:hint="default" w:hAnsi="仿宋" w:cs="Times New Roman"/>
          <w:kern w:val="2"/>
          <w:szCs w:val="32"/>
        </w:rPr>
        <w:t>的房地产，有下列情形之一的，当事人</w:t>
      </w:r>
      <w:r>
        <w:rPr>
          <w:rFonts w:hint="default" w:hAnsi="仿宋" w:cs="Times New Roman"/>
          <w:i w:val="0"/>
          <w:iCs w:val="0"/>
          <w:kern w:val="2"/>
          <w:szCs w:val="32"/>
          <w:u w:val="none"/>
        </w:rPr>
        <w:t>应当自合同或者其他法律文件生效之日起三十日内</w:t>
      </w:r>
      <w:r>
        <w:rPr>
          <w:rFonts w:hint="default" w:hAnsi="仿宋" w:cs="Times New Roman"/>
          <w:kern w:val="2"/>
          <w:szCs w:val="32"/>
        </w:rPr>
        <w:t>申请办理转移登记：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（一）买卖；</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（二）赠与；</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（三）交换；</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（四）继承；</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（五）共有房地产的分割；</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（六）人民法院判决、裁定的强制性转移；</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（七）依照法律、法规规定作出的其他强制性转移。</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第三十</w:t>
      </w:r>
      <w:r>
        <w:rPr>
          <w:rFonts w:hint="eastAsia" w:hAnsi="仿宋_GB2312" w:eastAsia="黑体" w:cs="仿宋_GB2312"/>
          <w:b w:val="0"/>
          <w:bCs/>
          <w:i w:val="0"/>
          <w:iCs/>
          <w:kern w:val="2"/>
          <w:sz w:val="32"/>
          <w:szCs w:val="32"/>
          <w:u w:val="none"/>
          <w:lang w:val="en-US" w:eastAsia="zh-CN" w:bidi="ar-SA"/>
        </w:rPr>
        <w:t>六</w:t>
      </w:r>
      <w:r>
        <w:rPr>
          <w:rFonts w:hint="default" w:ascii="仿宋_GB2312" w:hAnsi="仿宋_GB2312" w:eastAsia="黑体" w:cs="仿宋_GB2312"/>
          <w:b w:val="0"/>
          <w:bCs/>
          <w:i w:val="0"/>
          <w:iCs/>
          <w:kern w:val="2"/>
          <w:sz w:val="32"/>
          <w:szCs w:val="32"/>
          <w:u w:val="none"/>
          <w:lang w:val="en-US" w:eastAsia="zh-CN" w:bidi="ar-SA"/>
        </w:rPr>
        <w:t>条</w:t>
      </w:r>
      <w:r>
        <w:rPr>
          <w:rFonts w:hint="eastAsia" w:ascii="黑体" w:hAnsi="黑体" w:eastAsia="黑体" w:cs="黑体"/>
          <w:kern w:val="2"/>
          <w:szCs w:val="32"/>
        </w:rPr>
        <w:t>　</w:t>
      </w:r>
      <w:r>
        <w:rPr>
          <w:rFonts w:hint="default" w:hAnsi="仿宋" w:cs="Times New Roman"/>
          <w:kern w:val="2"/>
          <w:szCs w:val="32"/>
        </w:rPr>
        <w:t>申请转移登记，应当提交下列文件：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（三）身份证明；</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（四）买卖合同书，或者赠与书，或者继承证明文件，或者交换协议书，或者人民法院依法作出的已经生效的判决书、裁定书、调解书，或者有关行政机关的行政决定书，或者分割的协议书。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行政划拨、减免地价的土地，转移时</w:t>
      </w:r>
      <w:r>
        <w:rPr>
          <w:rFonts w:hint="eastAsia" w:hAnsi="仿宋" w:cs="Times New Roman"/>
          <w:kern w:val="2"/>
          <w:szCs w:val="32"/>
          <w:lang w:eastAsia="zh-CN"/>
        </w:rPr>
        <w:t>按照</w:t>
      </w:r>
      <w:r>
        <w:rPr>
          <w:rFonts w:hint="default" w:hAnsi="仿宋" w:cs="Times New Roman"/>
          <w:kern w:val="2"/>
          <w:szCs w:val="32"/>
        </w:rPr>
        <w:t>规定需补地价的，应当提交付清地价款证明书。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第三十</w:t>
      </w:r>
      <w:r>
        <w:rPr>
          <w:rFonts w:hint="eastAsia" w:ascii="黑体" w:hAnsi="黑体" w:eastAsia="黑体" w:cs="黑体"/>
          <w:kern w:val="2"/>
          <w:szCs w:val="32"/>
          <w:lang w:val="en-US" w:eastAsia="zh-CN"/>
        </w:rPr>
        <w:t>七</w:t>
      </w:r>
      <w:r>
        <w:rPr>
          <w:rFonts w:hint="eastAsia" w:ascii="黑体" w:hAnsi="黑体" w:eastAsia="黑体" w:cs="黑体"/>
          <w:kern w:val="2"/>
          <w:szCs w:val="32"/>
        </w:rPr>
        <w:t>条</w:t>
      </w:r>
      <w:r>
        <w:rPr>
          <w:rFonts w:hint="default" w:hAnsi="仿宋" w:cs="Times New Roman"/>
          <w:kern w:val="2"/>
          <w:szCs w:val="32"/>
        </w:rPr>
        <w:t>　非法人企业、组织的房地产转移，应当提交其产权部门同意转移的批准文件。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第三十</w:t>
      </w:r>
      <w:r>
        <w:rPr>
          <w:rFonts w:hint="eastAsia" w:ascii="黑体" w:hAnsi="黑体" w:eastAsia="黑体" w:cs="黑体"/>
          <w:kern w:val="2"/>
          <w:szCs w:val="32"/>
          <w:lang w:eastAsia="zh-CN"/>
        </w:rPr>
        <w:t>八</w:t>
      </w:r>
      <w:r>
        <w:rPr>
          <w:rFonts w:hint="eastAsia" w:ascii="黑体" w:hAnsi="黑体" w:eastAsia="黑体" w:cs="黑体"/>
          <w:kern w:val="2"/>
          <w:szCs w:val="32"/>
        </w:rPr>
        <w:t>条</w:t>
      </w:r>
      <w:r>
        <w:rPr>
          <w:rFonts w:hint="default" w:hAnsi="仿宋" w:cs="Times New Roman"/>
          <w:kern w:val="2"/>
          <w:szCs w:val="32"/>
        </w:rPr>
        <w:t>　登记机构对申请人的申请进行审查，符合规定的，应当书面通知申请人提交税务机关出具的契税完税凭证或者减免契税凭证。登记机构应当自收到契税完税凭证或者减免契税凭证之日起三十日内予以转移登记，并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第四节　抵押登记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eastAsia" w:ascii="黑体" w:hAnsi="黑体" w:eastAsia="黑体" w:cs="黑体"/>
          <w:kern w:val="2"/>
          <w:szCs w:val="32"/>
        </w:rPr>
      </w:pPr>
      <w:r>
        <w:rPr>
          <w:rStyle w:val="46"/>
          <w:rFonts w:hint="eastAsia" w:ascii="仿宋_GB2312" w:hAnsi="仿宋_GB2312" w:eastAsia="黑体" w:cs="仿宋_GB2312"/>
          <w:b w:val="0"/>
          <w:i w:val="0"/>
          <w:iCs/>
          <w:sz w:val="32"/>
          <w:szCs w:val="32"/>
          <w:u w:val="none"/>
        </w:rPr>
        <w:t>第</w:t>
      </w:r>
      <w:r>
        <w:rPr>
          <w:rStyle w:val="46"/>
          <w:rFonts w:hint="eastAsia" w:hAnsi="仿宋_GB2312" w:eastAsia="黑体" w:cs="仿宋_GB2312"/>
          <w:b w:val="0"/>
          <w:i w:val="0"/>
          <w:iCs/>
          <w:sz w:val="32"/>
          <w:szCs w:val="32"/>
          <w:u w:val="none"/>
          <w:lang w:eastAsia="zh-CN"/>
        </w:rPr>
        <w:t>三十九</w:t>
      </w:r>
      <w:r>
        <w:rPr>
          <w:rStyle w:val="46"/>
          <w:rFonts w:hint="eastAsia" w:ascii="仿宋_GB2312" w:hAnsi="仿宋_GB2312" w:eastAsia="黑体" w:cs="仿宋_GB2312"/>
          <w:b w:val="0"/>
          <w:i w:val="0"/>
          <w:iCs/>
          <w:sz w:val="32"/>
          <w:szCs w:val="32"/>
          <w:u w:val="none"/>
        </w:rPr>
        <w:t>条</w:t>
      </w:r>
      <w:r>
        <w:rPr>
          <w:rStyle w:val="46"/>
          <w:rFonts w:hint="eastAsia" w:ascii="仿宋_GB2312" w:hAnsi="仿宋_GB2312" w:eastAsia="仿宋_GB2312" w:cs="仿宋_GB2312"/>
          <w:b w:val="0"/>
          <w:i w:val="0"/>
          <w:iCs/>
          <w:sz w:val="32"/>
          <w:szCs w:val="32"/>
          <w:u w:val="none"/>
        </w:rPr>
        <w:t>　</w:t>
      </w:r>
      <w:r>
        <w:rPr>
          <w:rFonts w:hint="eastAsia" w:ascii="仿宋_GB2312" w:hAnsi="仿宋_GB2312" w:eastAsia="仿宋_GB2312" w:cs="仿宋_GB2312"/>
          <w:i w:val="0"/>
          <w:iCs/>
          <w:sz w:val="32"/>
          <w:szCs w:val="32"/>
          <w:u w:val="none"/>
        </w:rPr>
        <w:t>抵押房地产，抵押当事人应当于抵押合同生效之日起十五日内申请抵押登记。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en-US" w:bidi="ar-SA"/>
        </w:rPr>
        <w:t>第四十条</w:t>
      </w:r>
      <w:r>
        <w:rPr>
          <w:rFonts w:hint="default" w:hAnsi="仿宋" w:cs="Times New Roman"/>
          <w:kern w:val="2"/>
          <w:szCs w:val="32"/>
        </w:rPr>
        <w:t>　申请抵押登记应当提交下列文件：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（三）身份证明；</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（四）抵押合同书。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非法人企业、组织的房地产抵押，应当提交其产权部门同意抵押的批准文件。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预购的房地产抵押时，应当提交本条第一款第</w:t>
      </w:r>
      <w:r>
        <w:rPr>
          <w:rFonts w:hint="eastAsia" w:hAnsi="仿宋" w:cs="Times New Roman"/>
          <w:kern w:val="2"/>
          <w:szCs w:val="32"/>
          <w:lang w:val="en-US" w:eastAsia="zh-CN"/>
        </w:rPr>
        <w:t>一项</w:t>
      </w:r>
      <w:r>
        <w:rPr>
          <w:rFonts w:hint="default" w:hAnsi="仿宋" w:cs="Times New Roman"/>
          <w:kern w:val="2"/>
          <w:szCs w:val="32"/>
        </w:rPr>
        <w:t>、</w:t>
      </w:r>
      <w:r>
        <w:rPr>
          <w:rFonts w:hint="eastAsia" w:hAnsi="仿宋" w:cs="Times New Roman"/>
          <w:kern w:val="2"/>
          <w:szCs w:val="32"/>
          <w:lang w:val="en-US" w:eastAsia="zh-CN"/>
        </w:rPr>
        <w:t>第三项</w:t>
      </w:r>
      <w:r>
        <w:rPr>
          <w:rFonts w:hint="default" w:hAnsi="仿宋" w:cs="Times New Roman"/>
          <w:kern w:val="2"/>
          <w:szCs w:val="32"/>
        </w:rPr>
        <w:t>、</w:t>
      </w:r>
      <w:r>
        <w:rPr>
          <w:rFonts w:hint="eastAsia" w:hAnsi="仿宋" w:cs="Times New Roman"/>
          <w:kern w:val="2"/>
          <w:szCs w:val="32"/>
          <w:lang w:val="en-US" w:eastAsia="zh-CN"/>
        </w:rPr>
        <w:t>第四</w:t>
      </w:r>
      <w:r>
        <w:rPr>
          <w:rFonts w:hint="default" w:hAnsi="仿宋" w:cs="Times New Roman"/>
          <w:kern w:val="2"/>
          <w:szCs w:val="32"/>
        </w:rPr>
        <w:t>项规定的文件和房地产买卖合同书。</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en-US" w:bidi="ar-SA"/>
        </w:rPr>
        <w:t>第四十</w:t>
      </w:r>
      <w:r>
        <w:rPr>
          <w:rStyle w:val="46"/>
          <w:rFonts w:hint="eastAsia" w:hAnsi="仿宋_GB2312" w:eastAsia="黑体" w:cs="仿宋_GB2312"/>
          <w:b w:val="0"/>
          <w:i w:val="0"/>
          <w:iCs/>
          <w:kern w:val="0"/>
          <w:sz w:val="32"/>
          <w:szCs w:val="32"/>
          <w:u w:val="none"/>
          <w:lang w:val="en-US" w:eastAsia="zh-CN" w:bidi="ar-SA"/>
        </w:rPr>
        <w:t>一</w:t>
      </w:r>
      <w:r>
        <w:rPr>
          <w:rStyle w:val="46"/>
          <w:rFonts w:hint="default" w:ascii="仿宋_GB2312" w:hAnsi="仿宋_GB2312" w:eastAsia="黑体" w:cs="仿宋_GB2312"/>
          <w:b w:val="0"/>
          <w:i w:val="0"/>
          <w:iCs/>
          <w:kern w:val="0"/>
          <w:sz w:val="32"/>
          <w:szCs w:val="32"/>
          <w:u w:val="none"/>
          <w:lang w:val="en-US" w:eastAsia="en-US" w:bidi="ar-SA"/>
        </w:rPr>
        <w:t>条</w:t>
      </w:r>
      <w:r>
        <w:rPr>
          <w:rFonts w:hint="default" w:hAnsi="仿宋" w:cs="Times New Roman"/>
          <w:kern w:val="2"/>
          <w:szCs w:val="32"/>
        </w:rPr>
        <w:t>　登记机构对申请人的申请进行审查，符合规定的，应当自受理申请之日起十五日内</w:t>
      </w:r>
      <w:r>
        <w:rPr>
          <w:rFonts w:hint="eastAsia" w:hAnsi="仿宋" w:cs="Times New Roman"/>
          <w:kern w:val="2"/>
          <w:szCs w:val="32"/>
          <w:lang w:eastAsia="zh-CN"/>
        </w:rPr>
        <w:t>办理</w:t>
      </w:r>
      <w:r>
        <w:rPr>
          <w:rFonts w:hint="default" w:hAnsi="仿宋" w:cs="Times New Roman"/>
          <w:kern w:val="2"/>
          <w:szCs w:val="32"/>
        </w:rPr>
        <w:t>抵押登记。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二</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w:t>
      </w:r>
      <w:r>
        <w:rPr>
          <w:rFonts w:hint="eastAsia" w:hAnsi="仿宋" w:cs="Times New Roman"/>
          <w:kern w:val="2"/>
          <w:szCs w:val="32"/>
          <w:lang w:val="en-US" w:eastAsia="zh-CN"/>
        </w:rPr>
        <w:t>办理抵押登记的，登记机构在抵押人的不动产权属证书上上加盖抵押专用章，并在不动产登记簿上作抵押记录。抵押记录应当包括抵押权人、抵押物的面积、抵押金额、抵押期限等内容。</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预购的房地产抵押时，登记机构应当在房地产买卖合同书上加盖抵押专用章。</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三</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同一房地产设立若干抵押权时，应当</w:t>
      </w:r>
      <w:r>
        <w:rPr>
          <w:rFonts w:hint="eastAsia" w:hAnsi="仿宋" w:cs="Times New Roman"/>
          <w:kern w:val="2"/>
          <w:szCs w:val="32"/>
          <w:lang w:eastAsia="zh-CN"/>
        </w:rPr>
        <w:t>按照</w:t>
      </w:r>
      <w:r>
        <w:rPr>
          <w:rFonts w:hint="default" w:hAnsi="仿宋" w:cs="Times New Roman"/>
          <w:kern w:val="2"/>
          <w:szCs w:val="32"/>
        </w:rPr>
        <w:t>本条例</w:t>
      </w:r>
      <w:r>
        <w:rPr>
          <w:rFonts w:hint="default" w:ascii="仿宋_GB2312" w:hAnsi="仿宋" w:eastAsia="仿宋_GB2312" w:cs="Times New Roman"/>
          <w:i w:val="0"/>
          <w:iCs w:val="0"/>
          <w:kern w:val="2"/>
          <w:sz w:val="32"/>
          <w:szCs w:val="32"/>
          <w:u w:val="none"/>
          <w:lang w:val="en-US" w:eastAsia="zh-CN" w:bidi="ar-SA"/>
        </w:rPr>
        <w:t>第四十一条、第四十二条</w:t>
      </w:r>
      <w:r>
        <w:rPr>
          <w:rFonts w:hint="default" w:hAnsi="仿宋" w:cs="Times New Roman"/>
          <w:kern w:val="2"/>
          <w:szCs w:val="32"/>
        </w:rPr>
        <w:t>的规定分别办理抵押登记申请，并以受理申请编号的先后顺序进行审查。抵押权的顺序以登记的先后为序。</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第五节　变更及其他登记</w:t>
      </w:r>
      <w:bookmarkEnd w:id="1"/>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四</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有下列情形之一的，权利人应当自变更事实发生之日起三十日内申请变更登记：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（一）房地产使用用途改变的；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（二）权利人姓名或者名称发生变化的；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（三）房地产坐落名称或者房地产名称发生变化的。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highlight w:val="none"/>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五</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highlight w:val="none"/>
        </w:rPr>
        <w:t>　申请变更登记，应当提交下列文件：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highlight w:val="none"/>
        </w:rPr>
      </w:pPr>
      <w:r>
        <w:rPr>
          <w:rFonts w:hint="default" w:hAnsi="仿宋" w:cs="Times New Roman"/>
          <w:kern w:val="2"/>
          <w:szCs w:val="32"/>
          <w:highlight w:val="none"/>
        </w:rPr>
        <w:t>（一）</w:t>
      </w:r>
      <w:r>
        <w:rPr>
          <w:rFonts w:hint="eastAsia" w:hAnsi="仿宋" w:cs="Times New Roman"/>
          <w:kern w:val="2"/>
          <w:szCs w:val="32"/>
          <w:highlight w:val="none"/>
          <w:lang w:val="en-US" w:eastAsia="zh-CN"/>
        </w:rPr>
        <w:t>登记申请书</w:t>
      </w:r>
      <w:r>
        <w:rPr>
          <w:rFonts w:hint="default" w:hAnsi="仿宋" w:cs="Times New Roman"/>
          <w:kern w:val="2"/>
          <w:szCs w:val="32"/>
          <w:highlight w:val="none"/>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（三）身份证明；</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（四）改变房地产使用用途的，应当提交</w:t>
      </w:r>
      <w:r>
        <w:rPr>
          <w:rFonts w:hint="eastAsia" w:hAnsi="仿宋" w:cs="Times New Roman"/>
          <w:kern w:val="2"/>
          <w:szCs w:val="32"/>
          <w:lang w:val="en-US" w:eastAsia="zh-CN"/>
        </w:rPr>
        <w:t>规划和自然资源</w:t>
      </w:r>
      <w:r>
        <w:rPr>
          <w:rFonts w:hint="default" w:hAnsi="仿宋" w:cs="Times New Roman"/>
          <w:kern w:val="2"/>
          <w:szCs w:val="32"/>
        </w:rPr>
        <w:t>部门同意改变用途的批准文件及土地使用合同书，需补地价的，还应当提交付清地价款证明书；改变权利人姓名或者名称的，应当提交有关行政主管机关的批准文件。</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登记机构对权利人的申请进行审查，符合规定的，应当自受理申请之日起三十日内</w:t>
      </w:r>
      <w:r>
        <w:rPr>
          <w:rFonts w:hint="eastAsia" w:hAnsi="仿宋" w:cs="Times New Roman"/>
          <w:kern w:val="2"/>
          <w:szCs w:val="32"/>
          <w:lang w:eastAsia="zh-CN"/>
        </w:rPr>
        <w:t>办理</w:t>
      </w:r>
      <w:r>
        <w:rPr>
          <w:rFonts w:hint="default" w:hAnsi="仿宋" w:cs="Times New Roman"/>
          <w:kern w:val="2"/>
          <w:szCs w:val="32"/>
        </w:rPr>
        <w:t>变更登记，并颁发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六</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建筑物、附着物倒塌、拆除的，权利人应当自事实发生之日起三十日内向登记机构申请变更登记。登记机构</w:t>
      </w:r>
      <w:r>
        <w:rPr>
          <w:rFonts w:hint="eastAsia" w:hAnsi="仿宋" w:cs="Times New Roman"/>
          <w:kern w:val="2"/>
          <w:szCs w:val="32"/>
          <w:lang w:eastAsia="zh-CN"/>
        </w:rPr>
        <w:t>应当</w:t>
      </w:r>
      <w:r>
        <w:rPr>
          <w:rFonts w:hint="default" w:hAnsi="仿宋" w:cs="Times New Roman"/>
          <w:kern w:val="2"/>
          <w:szCs w:val="32"/>
        </w:rPr>
        <w:t>自收到权利人申请之日起，十五日内</w:t>
      </w:r>
      <w:r>
        <w:rPr>
          <w:rFonts w:hint="eastAsia" w:hAnsi="仿宋" w:cs="Times New Roman"/>
          <w:kern w:val="2"/>
          <w:szCs w:val="32"/>
          <w:lang w:eastAsia="zh-CN"/>
        </w:rPr>
        <w:t>办理</w:t>
      </w:r>
      <w:r>
        <w:rPr>
          <w:rFonts w:hint="default" w:hAnsi="仿宋" w:cs="Times New Roman"/>
          <w:kern w:val="2"/>
          <w:szCs w:val="32"/>
        </w:rPr>
        <w:t>变更登记。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 w:eastAsia="仿宋_GB2312" w:cs="Times New Roman"/>
          <w:i w:val="0"/>
          <w:iCs w:val="0"/>
          <w:kern w:val="2"/>
          <w:sz w:val="32"/>
          <w:szCs w:val="32"/>
          <w:u w:val="none"/>
          <w:lang w:val="en-US" w:eastAsia="zh-CN" w:bidi="ar-SA"/>
        </w:rPr>
        <w:t>房地产抵押合同终结，当事人应当自合同终结之日起十日内到登记机构办理注销抵押登记。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七</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灭失的，权利人应当在《深圳特区报》或者《深圳商报》声明灭失，并向登记机构报失。申请补发的，经审查与</w:t>
      </w:r>
      <w:r>
        <w:rPr>
          <w:rFonts w:hint="eastAsia" w:hAnsi="仿宋" w:cs="Times New Roman"/>
          <w:kern w:val="2"/>
          <w:szCs w:val="32"/>
          <w:lang w:eastAsia="zh-CN"/>
        </w:rPr>
        <w:t>不动产登记簿</w:t>
      </w:r>
      <w:r>
        <w:rPr>
          <w:rFonts w:hint="default" w:hAnsi="仿宋" w:cs="Times New Roman"/>
          <w:kern w:val="2"/>
          <w:szCs w:val="32"/>
        </w:rPr>
        <w:t>记载一致且已</w:t>
      </w:r>
      <w:r>
        <w:rPr>
          <w:rFonts w:hint="eastAsia" w:hAnsi="仿宋" w:cs="Times New Roman"/>
          <w:kern w:val="2"/>
          <w:szCs w:val="32"/>
          <w:lang w:eastAsia="zh-CN"/>
        </w:rPr>
        <w:t>按照</w:t>
      </w:r>
      <w:r>
        <w:rPr>
          <w:rFonts w:hint="default" w:hAnsi="仿宋" w:cs="Times New Roman"/>
          <w:kern w:val="2"/>
          <w:szCs w:val="32"/>
        </w:rPr>
        <w:t>规定声明灭失的，并在新颁发的</w:t>
      </w:r>
      <w:r>
        <w:rPr>
          <w:rFonts w:hint="eastAsia" w:hAnsi="仿宋" w:cs="Times New Roman"/>
          <w:kern w:val="2"/>
          <w:szCs w:val="32"/>
          <w:lang w:eastAsia="zh-CN"/>
        </w:rPr>
        <w:t>不动产权属证书</w:t>
      </w:r>
      <w:r>
        <w:rPr>
          <w:rFonts w:hint="default" w:hAnsi="仿宋" w:cs="Times New Roman"/>
          <w:kern w:val="2"/>
          <w:szCs w:val="32"/>
        </w:rPr>
        <w:t>上注明“补发”字样。</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八</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破损，经登记机构查验确需换领的，予以换领。</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四十九</w:t>
      </w:r>
      <w:r>
        <w:rPr>
          <w:rFonts w:hint="eastAsia" w:ascii="黑体" w:hAnsi="黑体" w:eastAsia="黑体" w:cs="黑体"/>
          <w:kern w:val="2"/>
          <w:szCs w:val="32"/>
        </w:rPr>
        <w:t>条</w:t>
      </w:r>
      <w:r>
        <w:rPr>
          <w:rFonts w:hint="default" w:hAnsi="仿宋" w:cs="Times New Roman"/>
          <w:kern w:val="2"/>
          <w:szCs w:val="32"/>
        </w:rPr>
        <w:t>　预售房地产的，预售人应当将买卖合同报</w:t>
      </w:r>
      <w:r>
        <w:rPr>
          <w:rFonts w:hint="eastAsia" w:hAnsi="仿宋" w:cs="Times New Roman"/>
          <w:kern w:val="2"/>
          <w:szCs w:val="32"/>
          <w:lang w:eastAsia="zh-CN"/>
        </w:rPr>
        <w:t>市住房建设部门</w:t>
      </w:r>
      <w:r>
        <w:rPr>
          <w:rFonts w:hint="default" w:hAnsi="仿宋" w:cs="Times New Roman"/>
          <w:kern w:val="2"/>
          <w:szCs w:val="32"/>
        </w:rPr>
        <w:t>备案。</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center"/>
        <w:textAlignment w:val="auto"/>
        <w:rPr>
          <w:rFonts w:ascii="黑体" w:hAnsi="黑体" w:eastAsia="黑体" w:cs="黑体"/>
          <w:kern w:val="2"/>
          <w:szCs w:val="32"/>
        </w:rPr>
      </w:pPr>
      <w:r>
        <w:rPr>
          <w:rFonts w:ascii="黑体" w:hAnsi="黑体" w:eastAsia="黑体" w:cs="黑体"/>
          <w:kern w:val="2"/>
          <w:szCs w:val="32"/>
        </w:rPr>
        <w:t>第四章　撤销登记</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eastAsia" w:ascii="仿宋_GB2312" w:hAnsi="仿宋_GB2312" w:eastAsia="黑体" w:cs="仿宋_GB2312"/>
          <w:b w:val="0"/>
          <w:i w:val="0"/>
          <w:iCs/>
          <w:kern w:val="0"/>
          <w:sz w:val="32"/>
          <w:szCs w:val="32"/>
          <w:u w:val="none"/>
          <w:lang w:val="en-US" w:eastAsia="zh-CN" w:bidi="ar-SA"/>
        </w:rPr>
        <w:t>第五十条</w:t>
      </w:r>
      <w:r>
        <w:rPr>
          <w:rFonts w:hint="default" w:hAnsi="仿宋" w:cs="Times New Roman"/>
          <w:kern w:val="2"/>
          <w:szCs w:val="32"/>
        </w:rPr>
        <w:t>　凡有下列情形之一的，登记机构可以决定撤销全部或者部分登记事项：</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（一）当事人对房地产不拥有合法权利的；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（二）当事人在申请登记时隐瞒真实情况或者伪造有关证件、文件，采取欺骗手段获准登记的；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（三）登记机构审查有疏忽，登记不当的。</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撤销登记的决定应当书面通知当事人。</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第五十</w:t>
      </w:r>
      <w:r>
        <w:rPr>
          <w:rStyle w:val="46"/>
          <w:rFonts w:hint="eastAsia" w:hAnsi="仿宋_GB2312" w:eastAsia="黑体" w:cs="仿宋_GB2312"/>
          <w:b w:val="0"/>
          <w:i w:val="0"/>
          <w:iCs/>
          <w:kern w:val="0"/>
          <w:sz w:val="32"/>
          <w:szCs w:val="32"/>
          <w:u w:val="none"/>
          <w:lang w:val="en-US" w:eastAsia="zh-CN" w:bidi="ar-SA"/>
        </w:rPr>
        <w:t>一</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当事人对撤销登记决定不服的，可以依法申请行政复议，或者向人民法院起诉。</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center"/>
        <w:textAlignment w:val="auto"/>
        <w:rPr>
          <w:rFonts w:hint="eastAsia" w:ascii="黑体" w:hAnsi="黑体" w:eastAsia="黑体" w:cs="黑体"/>
          <w:kern w:val="2"/>
          <w:szCs w:val="32"/>
        </w:rPr>
      </w:pPr>
      <w:r>
        <w:rPr>
          <w:rFonts w:ascii="黑体" w:hAnsi="黑体" w:eastAsia="黑体" w:cs="黑体"/>
          <w:kern w:val="2"/>
          <w:szCs w:val="32"/>
        </w:rPr>
        <w:t>第五章　登记规费</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第五十</w:t>
      </w:r>
      <w:r>
        <w:rPr>
          <w:rStyle w:val="46"/>
          <w:rFonts w:hint="eastAsia" w:hAnsi="仿宋_GB2312" w:eastAsia="黑体" w:cs="仿宋_GB2312"/>
          <w:b w:val="0"/>
          <w:i w:val="0"/>
          <w:iCs/>
          <w:kern w:val="0"/>
          <w:sz w:val="32"/>
          <w:szCs w:val="32"/>
          <w:u w:val="none"/>
          <w:lang w:val="en-US" w:eastAsia="zh-CN" w:bidi="ar-SA"/>
        </w:rPr>
        <w:t>二</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申请人向登记机构申请办理房地产登记，应当向登记机构交纳房地产登记费。房地产登记费具体收费标准按照国家有关规定执行。</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查询、复制</w:t>
      </w:r>
      <w:r>
        <w:rPr>
          <w:rFonts w:hint="eastAsia" w:hAnsi="仿宋" w:cs="Times New Roman"/>
          <w:kern w:val="2"/>
          <w:szCs w:val="32"/>
          <w:lang w:eastAsia="zh-CN"/>
        </w:rPr>
        <w:t>不动产登记簿</w:t>
      </w:r>
      <w:r>
        <w:rPr>
          <w:rFonts w:hint="default" w:hAnsi="仿宋" w:cs="Times New Roman"/>
          <w:kern w:val="2"/>
          <w:szCs w:val="32"/>
        </w:rPr>
        <w:t>记载信息或者其他登记信息的具体管理办法，由市</w:t>
      </w:r>
      <w:r>
        <w:rPr>
          <w:rFonts w:hint="eastAsia" w:hAnsi="仿宋" w:cs="Times New Roman"/>
          <w:kern w:val="2"/>
          <w:szCs w:val="32"/>
          <w:lang w:val="en-US" w:eastAsia="zh-CN"/>
        </w:rPr>
        <w:t>人民</w:t>
      </w:r>
      <w:r>
        <w:rPr>
          <w:rFonts w:hint="default" w:hAnsi="仿宋" w:cs="Times New Roman"/>
          <w:kern w:val="2"/>
          <w:szCs w:val="32"/>
        </w:rPr>
        <w:t>政府另行制定。</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第五十</w:t>
      </w:r>
      <w:r>
        <w:rPr>
          <w:rStyle w:val="46"/>
          <w:rFonts w:hint="eastAsia" w:hAnsi="仿宋_GB2312" w:eastAsia="黑体" w:cs="仿宋_GB2312"/>
          <w:b w:val="0"/>
          <w:i w:val="0"/>
          <w:iCs/>
          <w:kern w:val="0"/>
          <w:sz w:val="32"/>
          <w:szCs w:val="32"/>
          <w:u w:val="none"/>
          <w:lang w:val="en-US" w:eastAsia="zh-CN" w:bidi="ar-SA"/>
        </w:rPr>
        <w:t>三</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登记机构收取的</w:t>
      </w:r>
      <w:r>
        <w:rPr>
          <w:rFonts w:hint="default" w:hAnsi="仿宋" w:cs="Times New Roman"/>
          <w:kern w:val="2"/>
          <w:szCs w:val="32"/>
          <w:lang w:val="en-US"/>
        </w:rPr>
        <w:t>房地产</w:t>
      </w:r>
      <w:r>
        <w:rPr>
          <w:rFonts w:hint="default" w:hAnsi="仿宋" w:cs="Times New Roman"/>
          <w:kern w:val="2"/>
          <w:szCs w:val="32"/>
        </w:rPr>
        <w:t>登记费、其他依法取得的收入，纳入非税收入管理，并依法接受审计监督。</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lang w:val="en-US"/>
        </w:rPr>
        <w:t>房地产</w:t>
      </w:r>
      <w:r>
        <w:rPr>
          <w:rFonts w:hint="default" w:hAnsi="仿宋" w:cs="Times New Roman"/>
          <w:kern w:val="2"/>
          <w:szCs w:val="32"/>
        </w:rPr>
        <w:t>登记费的一定比例应当列入登记赔偿资金，具体办法由市</w:t>
      </w:r>
      <w:r>
        <w:rPr>
          <w:rFonts w:hint="eastAsia" w:hAnsi="仿宋" w:cs="Times New Roman"/>
          <w:kern w:val="2"/>
          <w:szCs w:val="32"/>
          <w:lang w:val="en-US" w:eastAsia="zh-CN"/>
        </w:rPr>
        <w:t>人民</w:t>
      </w:r>
      <w:r>
        <w:rPr>
          <w:rFonts w:hint="default" w:hAnsi="仿宋" w:cs="Times New Roman"/>
          <w:kern w:val="2"/>
          <w:szCs w:val="32"/>
        </w:rPr>
        <w:t>政府另行制定。</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登记机构可以向保险机构投保责任险。</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center"/>
        <w:textAlignment w:val="auto"/>
        <w:rPr>
          <w:rFonts w:hint="eastAsia" w:ascii="黑体" w:hAnsi="黑体" w:eastAsia="黑体" w:cs="黑体"/>
          <w:kern w:val="2"/>
          <w:szCs w:val="32"/>
        </w:rPr>
      </w:pPr>
      <w:r>
        <w:rPr>
          <w:rFonts w:ascii="黑体" w:hAnsi="黑体" w:eastAsia="黑体" w:cs="黑体"/>
          <w:kern w:val="2"/>
          <w:szCs w:val="32"/>
        </w:rPr>
        <w:t>第六章　法律责任</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第五十</w:t>
      </w:r>
      <w:r>
        <w:rPr>
          <w:rFonts w:hint="eastAsia" w:ascii="黑体" w:hAnsi="黑体" w:eastAsia="黑体" w:cs="黑体"/>
          <w:kern w:val="2"/>
          <w:szCs w:val="32"/>
          <w:lang w:eastAsia="zh-CN"/>
        </w:rPr>
        <w:t>四</w:t>
      </w:r>
      <w:r>
        <w:rPr>
          <w:rFonts w:hint="eastAsia" w:ascii="黑体" w:hAnsi="黑体" w:eastAsia="黑体" w:cs="黑体"/>
          <w:kern w:val="2"/>
          <w:szCs w:val="32"/>
        </w:rPr>
        <w:t>条</w:t>
      </w:r>
      <w:r>
        <w:rPr>
          <w:rFonts w:hint="default" w:hAnsi="仿宋" w:cs="Times New Roman"/>
          <w:kern w:val="2"/>
          <w:szCs w:val="32"/>
        </w:rPr>
        <w:t>　当事人通过提供虚假材料等欺骗手段申请登记的，由</w:t>
      </w:r>
      <w:r>
        <w:rPr>
          <w:rFonts w:hint="eastAsia" w:hAnsi="仿宋" w:cs="Times New Roman"/>
          <w:kern w:val="2"/>
          <w:szCs w:val="32"/>
          <w:lang w:eastAsia="zh-CN"/>
        </w:rPr>
        <w:t>市规划和自然资源部门按照</w:t>
      </w:r>
      <w:r>
        <w:rPr>
          <w:rFonts w:hint="default" w:hAnsi="仿宋" w:cs="Times New Roman"/>
          <w:kern w:val="2"/>
          <w:szCs w:val="32"/>
        </w:rPr>
        <w:t>房地产登记价格百分之五的</w:t>
      </w:r>
      <w:r>
        <w:rPr>
          <w:rFonts w:hint="eastAsia" w:hAnsi="仿宋" w:cs="Times New Roman"/>
          <w:kern w:val="2"/>
          <w:szCs w:val="32"/>
          <w:lang w:val="en-US" w:eastAsia="zh-CN"/>
        </w:rPr>
        <w:t>标准</w:t>
      </w:r>
      <w:r>
        <w:rPr>
          <w:rFonts w:hint="default" w:hAnsi="仿宋" w:cs="Times New Roman"/>
          <w:kern w:val="2"/>
          <w:szCs w:val="32"/>
        </w:rPr>
        <w:t>处以罚款；获得登记的，登记机构可以决定撤销登记，并由</w:t>
      </w:r>
      <w:r>
        <w:rPr>
          <w:rFonts w:hint="eastAsia" w:hAnsi="仿宋" w:cs="Times New Roman"/>
          <w:kern w:val="2"/>
          <w:szCs w:val="32"/>
          <w:lang w:eastAsia="zh-CN"/>
        </w:rPr>
        <w:t>市规划和自然资源部门按照</w:t>
      </w:r>
      <w:r>
        <w:rPr>
          <w:rFonts w:hint="default" w:hAnsi="仿宋" w:cs="Times New Roman"/>
          <w:kern w:val="2"/>
          <w:szCs w:val="32"/>
        </w:rPr>
        <w:t>房地产登记价格百分之十的</w:t>
      </w:r>
      <w:r>
        <w:rPr>
          <w:rFonts w:hint="eastAsia" w:hAnsi="仿宋" w:cs="Times New Roman"/>
          <w:kern w:val="2"/>
          <w:szCs w:val="32"/>
          <w:lang w:val="en-US" w:eastAsia="zh-CN"/>
        </w:rPr>
        <w:t>标准</w:t>
      </w:r>
      <w:r>
        <w:rPr>
          <w:rFonts w:hint="default" w:hAnsi="仿宋" w:cs="Times New Roman"/>
          <w:kern w:val="2"/>
          <w:szCs w:val="32"/>
        </w:rPr>
        <w:t>处以罚款；构成犯罪的，依法追究刑事责任；</w:t>
      </w:r>
      <w:r>
        <w:rPr>
          <w:rFonts w:hint="eastAsia" w:hAnsi="仿宋" w:cs="Times New Roman"/>
          <w:kern w:val="2"/>
          <w:szCs w:val="32"/>
        </w:rPr>
        <w:t>造成他人损害的，当事人应当依法承担赔偿责任。</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第五十</w:t>
      </w:r>
      <w:r>
        <w:rPr>
          <w:rFonts w:hint="eastAsia" w:ascii="黑体" w:hAnsi="黑体" w:eastAsia="黑体" w:cs="黑体"/>
          <w:kern w:val="2"/>
          <w:szCs w:val="32"/>
          <w:lang w:val="en-US" w:eastAsia="zh-CN"/>
        </w:rPr>
        <w:t>五</w:t>
      </w:r>
      <w:r>
        <w:rPr>
          <w:rFonts w:hint="eastAsia" w:ascii="黑体" w:hAnsi="黑体" w:eastAsia="黑体" w:cs="黑体"/>
          <w:kern w:val="2"/>
          <w:szCs w:val="32"/>
        </w:rPr>
        <w:t>条</w:t>
      </w:r>
      <w:r>
        <w:rPr>
          <w:rFonts w:hint="default" w:hAnsi="仿宋" w:cs="Times New Roman"/>
          <w:kern w:val="2"/>
          <w:szCs w:val="32"/>
        </w:rPr>
        <w:t>　</w:t>
      </w:r>
      <w:r>
        <w:rPr>
          <w:rFonts w:hint="eastAsia" w:hAnsi="仿宋" w:cs="Times New Roman"/>
          <w:kern w:val="2"/>
          <w:szCs w:val="32"/>
          <w:lang w:eastAsia="zh-CN"/>
        </w:rPr>
        <w:t>市规划和自然资源部门</w:t>
      </w:r>
      <w:r>
        <w:rPr>
          <w:rFonts w:hint="default" w:hAnsi="仿宋" w:cs="Times New Roman"/>
          <w:kern w:val="2"/>
          <w:szCs w:val="32"/>
        </w:rPr>
        <w:t>或者登记机构及其工作人员违反本条例规定不履行职责的，依照有关法律法规的规定，追究主要责任人和其他直接责任人的行政责任；构成犯罪的，依法追究刑事责任。</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第五十</w:t>
      </w:r>
      <w:r>
        <w:rPr>
          <w:rFonts w:hint="eastAsia" w:ascii="黑体" w:hAnsi="黑体" w:eastAsia="黑体" w:cs="黑体"/>
          <w:kern w:val="2"/>
          <w:szCs w:val="32"/>
          <w:lang w:val="en-US" w:eastAsia="zh-CN"/>
        </w:rPr>
        <w:t>六</w:t>
      </w:r>
      <w:r>
        <w:rPr>
          <w:rFonts w:hint="eastAsia" w:ascii="黑体" w:hAnsi="黑体" w:eastAsia="黑体" w:cs="黑体"/>
          <w:kern w:val="2"/>
          <w:szCs w:val="32"/>
        </w:rPr>
        <w:t>条</w:t>
      </w:r>
      <w:r>
        <w:rPr>
          <w:rFonts w:hint="default" w:hAnsi="仿宋" w:cs="Times New Roman"/>
          <w:kern w:val="2"/>
          <w:szCs w:val="32"/>
        </w:rPr>
        <w:t>　登记机构及其工作人员因不当登记，造成权利人损失的，登记机构应当负赔偿责任。</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center"/>
        <w:textAlignment w:val="auto"/>
        <w:rPr>
          <w:rFonts w:hint="eastAsia" w:ascii="黑体" w:hAnsi="黑体" w:eastAsia="黑体" w:cs="黑体"/>
          <w:kern w:val="2"/>
          <w:szCs w:val="32"/>
        </w:rPr>
      </w:pPr>
      <w:r>
        <w:rPr>
          <w:rFonts w:ascii="黑体" w:hAnsi="黑体" w:eastAsia="黑体" w:cs="黑体"/>
          <w:kern w:val="2"/>
          <w:szCs w:val="32"/>
        </w:rPr>
        <w:t>第七章　附</w:t>
      </w:r>
      <w:bookmarkStart w:id="2" w:name="_GoBack"/>
      <w:bookmarkEnd w:id="2"/>
      <w:r>
        <w:rPr>
          <w:rFonts w:ascii="黑体" w:hAnsi="黑体" w:eastAsia="黑体" w:cs="黑体"/>
          <w:kern w:val="2"/>
          <w:szCs w:val="32"/>
        </w:rPr>
        <w:t>则</w:t>
      </w:r>
      <w:bookmarkEnd w:id="0"/>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五十七</w:t>
      </w:r>
      <w:r>
        <w:rPr>
          <w:rFonts w:hint="eastAsia" w:ascii="黑体" w:hAnsi="黑体" w:eastAsia="黑体" w:cs="黑体"/>
          <w:kern w:val="2"/>
          <w:szCs w:val="32"/>
        </w:rPr>
        <w:t>条</w:t>
      </w:r>
      <w:r>
        <w:rPr>
          <w:rFonts w:hint="default" w:hAnsi="仿宋" w:cs="Times New Roman"/>
          <w:kern w:val="2"/>
          <w:szCs w:val="32"/>
        </w:rPr>
        <w:t>　</w:t>
      </w:r>
      <w:r>
        <w:rPr>
          <w:rFonts w:hint="eastAsia" w:hAnsi="仿宋" w:cs="Times New Roman"/>
          <w:kern w:val="2"/>
          <w:szCs w:val="32"/>
          <w:lang w:eastAsia="zh-CN"/>
        </w:rPr>
        <w:t>依照本条例规定应当公告的事项，由登记机构在其门户网站公告。</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五十八</w:t>
      </w:r>
      <w:r>
        <w:rPr>
          <w:rFonts w:hint="eastAsia" w:ascii="黑体" w:hAnsi="黑体" w:eastAsia="黑体" w:cs="黑体"/>
          <w:kern w:val="2"/>
          <w:szCs w:val="32"/>
        </w:rPr>
        <w:t>条</w:t>
      </w:r>
      <w:r>
        <w:rPr>
          <w:rFonts w:hint="default" w:hAnsi="仿宋" w:cs="Times New Roman"/>
          <w:kern w:val="2"/>
          <w:szCs w:val="32"/>
        </w:rPr>
        <w:t>　本条例施行前，政府或者其授权机关颁发的有关房地产权利证书继续有效。</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五十九</w:t>
      </w:r>
      <w:r>
        <w:rPr>
          <w:rFonts w:hint="eastAsia" w:ascii="黑体" w:hAnsi="黑体" w:eastAsia="黑体" w:cs="黑体"/>
          <w:kern w:val="2"/>
          <w:szCs w:val="32"/>
        </w:rPr>
        <w:t>条</w:t>
      </w:r>
      <w:r>
        <w:rPr>
          <w:rFonts w:hint="default" w:hAnsi="仿宋" w:cs="Times New Roman"/>
          <w:kern w:val="2"/>
          <w:szCs w:val="32"/>
        </w:rPr>
        <w:t>　市</w:t>
      </w:r>
      <w:r>
        <w:rPr>
          <w:rFonts w:hint="eastAsia" w:hAnsi="仿宋" w:cs="Times New Roman"/>
          <w:kern w:val="2"/>
          <w:szCs w:val="32"/>
          <w:lang w:val="en-US" w:eastAsia="zh-CN"/>
        </w:rPr>
        <w:t>人民</w:t>
      </w:r>
      <w:r>
        <w:rPr>
          <w:rFonts w:hint="default" w:hAnsi="仿宋" w:cs="Times New Roman"/>
          <w:kern w:val="2"/>
          <w:szCs w:val="32"/>
        </w:rPr>
        <w:t>政府</w:t>
      </w:r>
      <w:r>
        <w:rPr>
          <w:rFonts w:hint="eastAsia" w:hAnsi="仿宋" w:cs="Times New Roman"/>
          <w:kern w:val="2"/>
          <w:szCs w:val="32"/>
          <w:lang w:eastAsia="zh-CN"/>
        </w:rPr>
        <w:t>可以</w:t>
      </w:r>
      <w:r>
        <w:rPr>
          <w:rFonts w:hint="default" w:hAnsi="仿宋" w:cs="Times New Roman"/>
          <w:kern w:val="2"/>
          <w:szCs w:val="32"/>
        </w:rPr>
        <w:t>依据本条例制定实施细则。</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市</w:t>
      </w:r>
      <w:r>
        <w:rPr>
          <w:rFonts w:hint="eastAsia" w:hAnsi="仿宋" w:cs="Times New Roman"/>
          <w:kern w:val="2"/>
          <w:szCs w:val="32"/>
          <w:lang w:val="en-US" w:eastAsia="zh-CN"/>
        </w:rPr>
        <w:t>人民</w:t>
      </w:r>
      <w:r>
        <w:rPr>
          <w:rFonts w:hint="default" w:hAnsi="仿宋" w:cs="Times New Roman"/>
          <w:kern w:val="2"/>
          <w:szCs w:val="32"/>
        </w:rPr>
        <w:t>政府可以对房地产更正登记、异议登记、预告登记和地役权登记的具体办法作出规定。</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市土地储备机构负责向登记机构申请储备土地登记，具体登记办法由市</w:t>
      </w:r>
      <w:r>
        <w:rPr>
          <w:rFonts w:hint="eastAsia" w:hAnsi="仿宋" w:cs="Times New Roman"/>
          <w:kern w:val="2"/>
          <w:szCs w:val="32"/>
          <w:lang w:val="en-US" w:eastAsia="zh-CN"/>
        </w:rPr>
        <w:t>人民</w:t>
      </w:r>
      <w:r>
        <w:rPr>
          <w:rFonts w:hint="default" w:hAnsi="仿宋" w:cs="Times New Roman"/>
          <w:kern w:val="2"/>
          <w:szCs w:val="32"/>
        </w:rPr>
        <w:t>政府另行制定。</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六十</w:t>
      </w:r>
      <w:r>
        <w:rPr>
          <w:rFonts w:hint="eastAsia" w:ascii="黑体" w:hAnsi="黑体" w:eastAsia="黑体" w:cs="黑体"/>
          <w:kern w:val="2"/>
          <w:szCs w:val="32"/>
        </w:rPr>
        <w:t>条</w:t>
      </w:r>
      <w:r>
        <w:rPr>
          <w:rFonts w:hint="default" w:hAnsi="仿宋" w:cs="Times New Roman"/>
          <w:kern w:val="2"/>
          <w:szCs w:val="32"/>
        </w:rPr>
        <w:t>　本条例自</w:t>
      </w:r>
      <w:r>
        <w:rPr>
          <w:rFonts w:hint="eastAsia" w:hAnsi="仿宋" w:cs="Times New Roman"/>
          <w:kern w:val="2"/>
          <w:szCs w:val="32"/>
          <w:lang w:val="en-US" w:eastAsia="zh-CN"/>
        </w:rPr>
        <w:t>1993</w:t>
      </w:r>
      <w:r>
        <w:rPr>
          <w:rFonts w:hint="default" w:hAnsi="仿宋" w:cs="Times New Roman"/>
          <w:kern w:val="2"/>
          <w:szCs w:val="32"/>
        </w:rPr>
        <w:t>年</w:t>
      </w:r>
      <w:r>
        <w:rPr>
          <w:rFonts w:hint="eastAsia" w:hAnsi="仿宋" w:cs="Times New Roman"/>
          <w:kern w:val="2"/>
          <w:szCs w:val="32"/>
          <w:lang w:val="en-US" w:eastAsia="zh-CN"/>
        </w:rPr>
        <w:t>7</w:t>
      </w:r>
      <w:r>
        <w:rPr>
          <w:rFonts w:hint="default" w:hAnsi="仿宋" w:cs="Times New Roman"/>
          <w:kern w:val="2"/>
          <w:szCs w:val="32"/>
        </w:rPr>
        <w:t>月</w:t>
      </w:r>
      <w:r>
        <w:rPr>
          <w:rFonts w:hint="eastAsia" w:hAnsi="仿宋" w:cs="Times New Roman"/>
          <w:kern w:val="2"/>
          <w:szCs w:val="32"/>
          <w:lang w:val="en-US" w:eastAsia="zh-CN"/>
        </w:rPr>
        <w:t>1</w:t>
      </w:r>
      <w:r>
        <w:rPr>
          <w:rFonts w:hint="default" w:hAnsi="仿宋" w:cs="Times New Roman"/>
          <w:kern w:val="2"/>
          <w:szCs w:val="32"/>
        </w:rPr>
        <w:t>日起施行。</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本条例施行前，应当登记而未登记的房地产，当事人应当在本条例施行之日起两年内提出登记申请。登记机构对历史遗留的房地产权问题应当根据当时的政策、规定和实际情况予以处理。</w:t>
      </w:r>
    </w:p>
    <w:p>
      <w:pPr>
        <w:pStyle w:val="18"/>
        <w:keepNext w:val="0"/>
        <w:keepLines w:val="0"/>
        <w:pageBreakBefore w:val="0"/>
        <w:widowControl w:val="0"/>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val="en-US" w:eastAsia="zh-CN"/>
        </w:rPr>
        <w:t>本条例施行前</w:t>
      </w:r>
      <w:r>
        <w:rPr>
          <w:rFonts w:hint="default" w:hAnsi="仿宋" w:cs="Times New Roman"/>
          <w:kern w:val="2"/>
          <w:szCs w:val="32"/>
        </w:rPr>
        <w:t>在特区内</w:t>
      </w:r>
      <w:r>
        <w:rPr>
          <w:rFonts w:hint="default" w:hAnsi="仿宋" w:cs="Times New Roman"/>
          <w:kern w:val="2"/>
          <w:szCs w:val="32"/>
          <w:lang w:val="en-US"/>
        </w:rPr>
        <w:t>实施</w:t>
      </w:r>
      <w:r>
        <w:rPr>
          <w:rFonts w:hint="default" w:hAnsi="仿宋" w:cs="Times New Roman"/>
          <w:kern w:val="2"/>
          <w:szCs w:val="32"/>
        </w:rPr>
        <w:t>的有关规定与本条例</w:t>
      </w:r>
      <w:r>
        <w:rPr>
          <w:rFonts w:hint="eastAsia" w:hAnsi="仿宋" w:cs="Times New Roman"/>
          <w:kern w:val="2"/>
          <w:szCs w:val="32"/>
          <w:lang w:val="en-US" w:eastAsia="zh-CN"/>
        </w:rPr>
        <w:t>不一致</w:t>
      </w:r>
      <w:r>
        <w:rPr>
          <w:rFonts w:hint="default" w:hAnsi="仿宋" w:cs="Times New Roman"/>
          <w:kern w:val="2"/>
          <w:szCs w:val="32"/>
        </w:rPr>
        <w:t>的，适用本条例。</w:t>
      </w:r>
    </w:p>
    <w:sectPr>
      <w:headerReference r:id="rId5" w:type="first"/>
      <w:footerReference r:id="rId8" w:type="first"/>
      <w:headerReference r:id="rId3" w:type="default"/>
      <w:footerReference r:id="rId6" w:type="default"/>
      <w:headerReference r:id="rId4" w:type="even"/>
      <w:footerReference r:id="rId7" w:type="even"/>
      <w:pgSz w:w="11900" w:h="16840"/>
      <w:pgMar w:top="2098" w:right="1587" w:bottom="1814" w:left="1587" w:header="850" w:footer="1020" w:gutter="0"/>
      <w:pgNumType w:fmt="numberInDash" w:start="1"/>
      <w:cols w:space="0" w:num="1"/>
      <w:rtlGutter w:val="0"/>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Songti SC">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0" w:firstLineChars="0"/>
      <w:jc w:val="center"/>
      <w:rPr>
        <w:rFonts w:ascii="Times New Roman" w:hAnsi="Times New Roman" w:cs="Times New Roman"/>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spacing w:before="120"/>
                            <w:ind w:firstLine="0" w:firstLineChars="0"/>
                            <w:jc w:val="center"/>
                          </w:pPr>
                          <w:r>
                            <w:rPr>
                              <w:rStyle w:val="28"/>
                              <w:rFonts w:ascii="Times New Roman" w:hAnsi="Times New Roman" w:cs="Times New Roman"/>
                              <w:sz w:val="28"/>
                              <w:szCs w:val="28"/>
                            </w:rPr>
                            <w:fldChar w:fldCharType="begin"/>
                          </w:r>
                          <w:r>
                            <w:rPr>
                              <w:rStyle w:val="28"/>
                              <w:rFonts w:ascii="Times New Roman" w:hAnsi="Times New Roman" w:cs="Times New Roman"/>
                              <w:sz w:val="28"/>
                              <w:szCs w:val="28"/>
                            </w:rPr>
                            <w:instrText xml:space="preserve">PAGE  </w:instrText>
                          </w:r>
                          <w:r>
                            <w:rPr>
                              <w:rStyle w:val="28"/>
                              <w:rFonts w:ascii="Times New Roman" w:hAnsi="Times New Roman" w:cs="Times New Roman"/>
                              <w:sz w:val="28"/>
                              <w:szCs w:val="28"/>
                            </w:rPr>
                            <w:fldChar w:fldCharType="separate"/>
                          </w:r>
                          <w:r>
                            <w:rPr>
                              <w:rStyle w:val="28"/>
                              <w:rFonts w:ascii="Times New Roman" w:hAnsi="Times New Roman" w:cs="Times New Roman"/>
                              <w:sz w:val="28"/>
                              <w:szCs w:val="28"/>
                            </w:rPr>
                            <w:t>2</w:t>
                          </w:r>
                          <w:r>
                            <w:rPr>
                              <w:rStyle w:val="28"/>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AjqXE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vP5LJs5hiH5B2b+&#10;4zQ6NaB6AikcRcHVaOIV4/jci4rozJucB7EXhJOryTiIJlFePIa0aAT7d0iP2H+QNElcwQ7YlpzQ&#10;d7+F5tI5QgMGhsL5rg/7fnOS3S13QJETl7K8g97Ush9uo2jRQNAFMfaGaJhm6DnYUPYaPhWX0Cdy&#10;L2FUS/3+V/fOHsoLWoy2sB1SLGB9YcRfChg+t0gGQQ/CchDEus0kFBIGCnLpRHigLR/ESsv2Layt&#10;mYsBKiIoREqxHcTM9hsK1h5ls1lntFa6WdX9A1gditiFuFXUhelaSM3WFuahG5MjK0ClO8Dy6Ejd&#10;Lzq3nR6eO6vjOp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rQI6lxAIAANYFAAAOAAAA&#10;AAAAAAEAIAAAAB8BAABkcnMvZTJvRG9jLnhtbFBLBQYAAAAABgAGAFkBAABVBgAAAAA=&#10;">
              <v:fill on="f" focussize="0,0"/>
              <v:stroke on="f" weight="0.5pt"/>
              <v:imagedata o:title=""/>
              <o:lock v:ext="edit" aspectratio="f"/>
              <v:textbox inset="0mm,0mm,0mm,0mm" style="mso-fit-shape-to-text:t;">
                <w:txbxContent>
                  <w:p>
                    <w:pPr>
                      <w:pStyle w:val="12"/>
                      <w:spacing w:before="120"/>
                      <w:ind w:firstLine="0" w:firstLineChars="0"/>
                      <w:jc w:val="center"/>
                    </w:pPr>
                    <w:r>
                      <w:rPr>
                        <w:rStyle w:val="28"/>
                        <w:rFonts w:ascii="Times New Roman" w:hAnsi="Times New Roman" w:cs="Times New Roman"/>
                        <w:sz w:val="28"/>
                        <w:szCs w:val="28"/>
                      </w:rPr>
                      <w:fldChar w:fldCharType="begin"/>
                    </w:r>
                    <w:r>
                      <w:rPr>
                        <w:rStyle w:val="28"/>
                        <w:rFonts w:ascii="Times New Roman" w:hAnsi="Times New Roman" w:cs="Times New Roman"/>
                        <w:sz w:val="28"/>
                        <w:szCs w:val="28"/>
                      </w:rPr>
                      <w:instrText xml:space="preserve">PAGE  </w:instrText>
                    </w:r>
                    <w:r>
                      <w:rPr>
                        <w:rStyle w:val="28"/>
                        <w:rFonts w:ascii="Times New Roman" w:hAnsi="Times New Roman" w:cs="Times New Roman"/>
                        <w:sz w:val="28"/>
                        <w:szCs w:val="28"/>
                      </w:rPr>
                      <w:fldChar w:fldCharType="separate"/>
                    </w:r>
                    <w:r>
                      <w:rPr>
                        <w:rStyle w:val="28"/>
                        <w:rFonts w:ascii="Times New Roman" w:hAnsi="Times New Roman" w:cs="Times New Roman"/>
                        <w:sz w:val="28"/>
                        <w:szCs w:val="28"/>
                      </w:rPr>
                      <w:t>2</w:t>
                    </w:r>
                    <w:r>
                      <w:rPr>
                        <w:rStyle w:val="28"/>
                        <w:rFonts w:ascii="Times New Roman" w:hAnsi="Times New Roman" w:cs="Times New Roman"/>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rPr>
        <w:rStyle w:val="28"/>
      </w:rPr>
    </w:pPr>
    <w:r>
      <w:rPr>
        <w:rStyle w:val="28"/>
      </w:rPr>
      <w:fldChar w:fldCharType="begin"/>
    </w:r>
    <w:r>
      <w:rPr>
        <w:rStyle w:val="28"/>
      </w:rPr>
      <w:instrText xml:space="preserve">PAGE  </w:instrText>
    </w:r>
    <w:r>
      <w:rPr>
        <w:rStyle w:val="28"/>
      </w:rPr>
      <w:fldChar w:fldCharType="end"/>
    </w:r>
  </w:p>
  <w:p>
    <w:pPr>
      <w:pStyle w:val="12"/>
      <w:spacing w:before="120"/>
      <w:ind w:firstLine="360"/>
      <w:rPr>
        <w:rStyle w:val="28"/>
      </w:rPr>
    </w:pPr>
    <w:r>
      <w:rPr>
        <w:rStyle w:val="28"/>
      </w:rPr>
      <w:fldChar w:fldCharType="begin"/>
    </w:r>
    <w:r>
      <w:rPr>
        <w:rStyle w:val="28"/>
      </w:rPr>
      <w:instrText xml:space="preserve">PAGE  </w:instrText>
    </w:r>
    <w:r>
      <w:rPr>
        <w:rStyle w:val="28"/>
      </w:rPr>
      <w:fldChar w:fldCharType="end"/>
    </w:r>
  </w:p>
  <w:p>
    <w:pPr>
      <w:pStyle w:val="12"/>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ind w:left="0" w:leftChars="0"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766D9"/>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02A518E3"/>
    <w:rsid w:val="0D7B56B3"/>
    <w:rsid w:val="11D17389"/>
    <w:rsid w:val="136E092D"/>
    <w:rsid w:val="16885CE4"/>
    <w:rsid w:val="19FF66AC"/>
    <w:rsid w:val="1C496D76"/>
    <w:rsid w:val="1FB32A67"/>
    <w:rsid w:val="202A39E8"/>
    <w:rsid w:val="21FB6A5C"/>
    <w:rsid w:val="27982102"/>
    <w:rsid w:val="2A1111F8"/>
    <w:rsid w:val="2D3F4918"/>
    <w:rsid w:val="2F2035D5"/>
    <w:rsid w:val="2FD331C4"/>
    <w:rsid w:val="32016AF6"/>
    <w:rsid w:val="3374723A"/>
    <w:rsid w:val="33F23CB4"/>
    <w:rsid w:val="43D016B4"/>
    <w:rsid w:val="43D201E9"/>
    <w:rsid w:val="44CE0030"/>
    <w:rsid w:val="468E18D4"/>
    <w:rsid w:val="492F6679"/>
    <w:rsid w:val="4B7872B6"/>
    <w:rsid w:val="4BAE0498"/>
    <w:rsid w:val="4F411973"/>
    <w:rsid w:val="513B163B"/>
    <w:rsid w:val="51911E11"/>
    <w:rsid w:val="55D8754A"/>
    <w:rsid w:val="573D153F"/>
    <w:rsid w:val="59FA7E4F"/>
    <w:rsid w:val="5CC671A4"/>
    <w:rsid w:val="5E9C02E0"/>
    <w:rsid w:val="63373795"/>
    <w:rsid w:val="6352325B"/>
    <w:rsid w:val="66EC73B7"/>
    <w:rsid w:val="67891723"/>
    <w:rsid w:val="67AA57EA"/>
    <w:rsid w:val="6D6F32A3"/>
    <w:rsid w:val="70C171F5"/>
    <w:rsid w:val="71C713BD"/>
    <w:rsid w:val="72526496"/>
    <w:rsid w:val="72FB665A"/>
    <w:rsid w:val="753A4235"/>
    <w:rsid w:val="79140A3E"/>
    <w:rsid w:val="79F958C4"/>
    <w:rsid w:val="7B7209B1"/>
    <w:rsid w:val="7D65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1624"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next w:val="1"/>
    <w:link w:val="34"/>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3"/>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link w:val="27"/>
    <w:semiHidden/>
    <w:unhideWhenUsed/>
    <w:qFormat/>
    <w:uiPriority w:val="1"/>
    <w:rPr>
      <w:rFonts w:ascii="Verdana" w:hAnsi="Verdana" w:eastAsia="仿宋_GB2312"/>
      <w:kern w:val="0"/>
      <w:sz w:val="24"/>
      <w:szCs w:val="20"/>
      <w:lang w:eastAsia="en-US"/>
    </w:rPr>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spacing w:before="0"/>
      <w:ind w:left="1260"/>
    </w:pPr>
    <w:rPr>
      <w:rFonts w:asciiTheme="minorHAnsi" w:eastAsiaTheme="minorHAnsi"/>
      <w:sz w:val="18"/>
      <w:szCs w:val="18"/>
    </w:rPr>
  </w:style>
  <w:style w:type="paragraph" w:styleId="7">
    <w:name w:val="annotation text"/>
    <w:basedOn w:val="1"/>
    <w:link w:val="49"/>
    <w:unhideWhenUsed/>
    <w:qFormat/>
    <w:uiPriority w:val="99"/>
  </w:style>
  <w:style w:type="paragraph" w:styleId="8">
    <w:name w:val="toc 5"/>
    <w:basedOn w:val="1"/>
    <w:next w:val="1"/>
    <w:unhideWhenUsed/>
    <w:qFormat/>
    <w:uiPriority w:val="39"/>
    <w:pPr>
      <w:spacing w:before="0"/>
      <w:ind w:left="840"/>
    </w:pPr>
    <w:rPr>
      <w:rFonts w:asciiTheme="minorHAnsi" w:eastAsiaTheme="minorHAnsi"/>
      <w:sz w:val="18"/>
      <w:szCs w:val="18"/>
    </w:rPr>
  </w:style>
  <w:style w:type="paragraph" w:styleId="9">
    <w:name w:val="toc 3"/>
    <w:basedOn w:val="1"/>
    <w:next w:val="1"/>
    <w:unhideWhenUsed/>
    <w:qFormat/>
    <w:uiPriority w:val="39"/>
    <w:pPr>
      <w:spacing w:before="0"/>
      <w:ind w:left="420"/>
    </w:pPr>
    <w:rPr>
      <w:rFonts w:asciiTheme="minorHAnsi" w:eastAsiaTheme="minorHAnsi"/>
      <w:i/>
      <w:iCs/>
      <w:sz w:val="20"/>
      <w:szCs w:val="20"/>
    </w:rPr>
  </w:style>
  <w:style w:type="paragraph" w:styleId="10">
    <w:name w:val="toc 8"/>
    <w:basedOn w:val="1"/>
    <w:next w:val="1"/>
    <w:unhideWhenUsed/>
    <w:qFormat/>
    <w:uiPriority w:val="39"/>
    <w:pPr>
      <w:spacing w:before="0"/>
      <w:ind w:left="1470"/>
    </w:pPr>
    <w:rPr>
      <w:rFonts w:asciiTheme="minorHAnsi" w:eastAsiaTheme="minorHAnsi"/>
      <w:sz w:val="18"/>
      <w:szCs w:val="18"/>
    </w:rPr>
  </w:style>
  <w:style w:type="paragraph" w:styleId="11">
    <w:name w:val="Balloon Text"/>
    <w:basedOn w:val="1"/>
    <w:link w:val="51"/>
    <w:semiHidden/>
    <w:unhideWhenUsed/>
    <w:qFormat/>
    <w:uiPriority w:val="99"/>
    <w:rPr>
      <w:rFonts w:ascii="Times New Roman" w:hAnsi="Times New Roman" w:cs="Times New Roman"/>
      <w:sz w:val="18"/>
      <w:szCs w:val="18"/>
    </w:rPr>
  </w:style>
  <w:style w:type="paragraph" w:styleId="12">
    <w:name w:val="footer"/>
    <w:basedOn w:val="1"/>
    <w:link w:val="33"/>
    <w:unhideWhenUsed/>
    <w:qFormat/>
    <w:uiPriority w:val="99"/>
    <w:pPr>
      <w:tabs>
        <w:tab w:val="center" w:pos="4153"/>
        <w:tab w:val="right" w:pos="8306"/>
      </w:tabs>
      <w:snapToGrid w:val="0"/>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unhideWhenUsed/>
    <w:qFormat/>
    <w:uiPriority w:val="39"/>
    <w:pPr>
      <w:spacing w:before="0"/>
      <w:ind w:left="630"/>
    </w:pPr>
    <w:rPr>
      <w:rFonts w:asciiTheme="minorHAnsi" w:eastAsiaTheme="minorHAnsi"/>
      <w:sz w:val="18"/>
      <w:szCs w:val="18"/>
    </w:rPr>
  </w:style>
  <w:style w:type="paragraph" w:styleId="16">
    <w:name w:val="Subtitle"/>
    <w:basedOn w:val="1"/>
    <w:next w:val="1"/>
    <w:link w:val="58"/>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unhideWhenUsed/>
    <w:qFormat/>
    <w:uiPriority w:val="39"/>
    <w:pPr>
      <w:spacing w:before="0"/>
      <w:ind w:left="1050"/>
    </w:pPr>
    <w:rPr>
      <w:rFonts w:asciiTheme="minorHAnsi" w:eastAsiaTheme="minorHAnsi"/>
      <w:sz w:val="18"/>
      <w:szCs w:val="18"/>
    </w:rPr>
  </w:style>
  <w:style w:type="paragraph" w:styleId="18">
    <w:name w:val="Body Text Indent 3"/>
    <w:basedOn w:val="1"/>
    <w:qFormat/>
    <w:uiPriority w:val="1624"/>
    <w:pPr>
      <w:spacing w:line="440" w:lineRule="atLeast"/>
      <w:ind w:firstLine="640" w:firstLineChars="200"/>
    </w:pPr>
    <w:rPr>
      <w:rFonts w:hint="eastAsia" w:ascii="仿宋_GB2312" w:eastAsia="仿宋_GB2312"/>
      <w:sz w:val="32"/>
    </w:rPr>
  </w:style>
  <w:style w:type="paragraph" w:styleId="19">
    <w:name w:val="toc 2"/>
    <w:basedOn w:val="1"/>
    <w:next w:val="1"/>
    <w:unhideWhenUsed/>
    <w:qFormat/>
    <w:uiPriority w:val="39"/>
    <w:pPr>
      <w:spacing w:before="0" w:beforeLines="0"/>
    </w:pPr>
    <w:rPr>
      <w:rFonts w:asciiTheme="minorHAnsi" w:eastAsiaTheme="minorHAnsi"/>
      <w:smallCaps/>
      <w:szCs w:val="20"/>
    </w:rPr>
  </w:style>
  <w:style w:type="paragraph" w:styleId="20">
    <w:name w:val="toc 9"/>
    <w:basedOn w:val="1"/>
    <w:next w:val="1"/>
    <w:unhideWhenUsed/>
    <w:qFormat/>
    <w:uiPriority w:val="39"/>
    <w:pPr>
      <w:spacing w:before="0"/>
      <w:ind w:left="1680"/>
    </w:pPr>
    <w:rPr>
      <w:rFonts w:asciiTheme="minorHAnsi" w:eastAsiaTheme="minorHAnsi"/>
      <w:sz w:val="18"/>
      <w:szCs w:val="18"/>
    </w:rPr>
  </w:style>
  <w:style w:type="paragraph" w:styleId="21">
    <w:name w:val="Normal (Web)"/>
    <w:basedOn w:val="1"/>
    <w:unhideWhenUsed/>
    <w:qFormat/>
    <w:uiPriority w:val="99"/>
    <w:pPr>
      <w:spacing w:before="100" w:beforeAutospacing="1" w:after="100" w:afterAutospacing="1"/>
    </w:pPr>
  </w:style>
  <w:style w:type="paragraph" w:styleId="22">
    <w:name w:val="Title"/>
    <w:basedOn w:val="1"/>
    <w:next w:val="1"/>
    <w:link w:val="57"/>
    <w:qFormat/>
    <w:uiPriority w:val="10"/>
    <w:pPr>
      <w:spacing w:before="240" w:after="60"/>
      <w:jc w:val="center"/>
      <w:outlineLvl w:val="0"/>
    </w:pPr>
    <w:rPr>
      <w:rFonts w:eastAsia="Songti SC" w:asciiTheme="majorHAnsi" w:hAnsiTheme="majorHAnsi" w:cstheme="majorBidi"/>
      <w:b/>
      <w:bCs/>
      <w:sz w:val="32"/>
      <w:szCs w:val="32"/>
    </w:rPr>
  </w:style>
  <w:style w:type="paragraph" w:styleId="23">
    <w:name w:val="annotation subject"/>
    <w:basedOn w:val="7"/>
    <w:next w:val="7"/>
    <w:link w:val="50"/>
    <w:semiHidden/>
    <w:unhideWhenUsed/>
    <w:qFormat/>
    <w:uiPriority w:val="99"/>
    <w:rPr>
      <w:b/>
      <w:bCs/>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
    <w:name w:val=" Char"/>
    <w:basedOn w:val="1"/>
    <w:link w:val="26"/>
    <w:qFormat/>
    <w:uiPriority w:val="0"/>
    <w:pPr>
      <w:widowControl/>
      <w:spacing w:after="160" w:line="240" w:lineRule="exact"/>
      <w:jc w:val="left"/>
    </w:pPr>
    <w:rPr>
      <w:rFonts w:ascii="Verdana" w:hAnsi="Verdana" w:eastAsia="仿宋_GB2312"/>
      <w:kern w:val="0"/>
      <w:sz w:val="24"/>
      <w:szCs w:val="20"/>
      <w:lang w:eastAsia="en-US"/>
    </w:rPr>
  </w:style>
  <w:style w:type="character" w:styleId="28">
    <w:name w:val="page number"/>
    <w:basedOn w:val="26"/>
    <w:semiHidden/>
    <w:unhideWhenUsed/>
    <w:qFormat/>
    <w:uiPriority w:val="99"/>
  </w:style>
  <w:style w:type="character" w:styleId="29">
    <w:name w:val="FollowedHyperlink"/>
    <w:basedOn w:val="26"/>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6"/>
    <w:unhideWhenUsed/>
    <w:qFormat/>
    <w:uiPriority w:val="99"/>
    <w:rPr>
      <w:color w:val="0000FF"/>
      <w:u w:val="none"/>
    </w:rPr>
  </w:style>
  <w:style w:type="character" w:styleId="31">
    <w:name w:val="annotation reference"/>
    <w:basedOn w:val="26"/>
    <w:semiHidden/>
    <w:unhideWhenUsed/>
    <w:qFormat/>
    <w:uiPriority w:val="99"/>
    <w:rPr>
      <w:sz w:val="21"/>
      <w:szCs w:val="21"/>
    </w:rPr>
  </w:style>
  <w:style w:type="character" w:customStyle="1" w:styleId="32">
    <w:name w:val="页眉 字符"/>
    <w:basedOn w:val="26"/>
    <w:link w:val="13"/>
    <w:qFormat/>
    <w:uiPriority w:val="99"/>
    <w:rPr>
      <w:sz w:val="18"/>
      <w:szCs w:val="18"/>
    </w:rPr>
  </w:style>
  <w:style w:type="character" w:customStyle="1" w:styleId="33">
    <w:name w:val="页脚 字符"/>
    <w:basedOn w:val="26"/>
    <w:link w:val="12"/>
    <w:qFormat/>
    <w:uiPriority w:val="99"/>
    <w:rPr>
      <w:sz w:val="18"/>
      <w:szCs w:val="18"/>
    </w:rPr>
  </w:style>
  <w:style w:type="character" w:customStyle="1" w:styleId="34">
    <w:name w:val="标题 1 字符"/>
    <w:basedOn w:val="26"/>
    <w:link w:val="2"/>
    <w:qFormat/>
    <w:uiPriority w:val="9"/>
    <w:rPr>
      <w:rFonts w:ascii="等线" w:hAnsi="等线" w:eastAsia="宋体" w:cs="宋体"/>
      <w:b/>
      <w:bCs/>
      <w:kern w:val="36"/>
    </w:rPr>
  </w:style>
  <w:style w:type="paragraph" w:customStyle="1" w:styleId="35">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6">
    <w:name w:val="cnsubtitle"/>
    <w:basedOn w:val="1"/>
    <w:semiHidden/>
    <w:qFormat/>
    <w:uiPriority w:val="99"/>
    <w:pPr>
      <w:spacing w:before="315" w:after="315" w:line="300" w:lineRule="exact"/>
    </w:pPr>
    <w:rPr>
      <w:rFonts w:ascii="微软雅黑" w:hAnsi="微软雅黑" w:eastAsia="微软雅黑"/>
    </w:rPr>
  </w:style>
  <w:style w:type="paragraph" w:customStyle="1" w:styleId="37">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8">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9">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40">
    <w:name w:val="promulgatedate"/>
    <w:basedOn w:val="1"/>
    <w:qFormat/>
    <w:uiPriority w:val="0"/>
    <w:pPr>
      <w:jc w:val="right"/>
    </w:pPr>
  </w:style>
  <w:style w:type="paragraph" w:customStyle="1" w:styleId="41">
    <w:name w:val="promulgatesignatory"/>
    <w:basedOn w:val="1"/>
    <w:qFormat/>
    <w:uiPriority w:val="0"/>
    <w:pPr>
      <w:jc w:val="right"/>
    </w:pPr>
  </w:style>
  <w:style w:type="paragraph" w:customStyle="1" w:styleId="42">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3">
    <w:name w:val="catalog-a"/>
    <w:basedOn w:val="1"/>
    <w:semiHidden/>
    <w:qFormat/>
    <w:uiPriority w:val="99"/>
    <w:pPr>
      <w:spacing w:before="100" w:beforeAutospacing="1" w:after="100" w:afterAutospacing="1"/>
    </w:pPr>
  </w:style>
  <w:style w:type="character" w:customStyle="1" w:styleId="44">
    <w:name w:val="chaptertitle"/>
    <w:basedOn w:val="26"/>
    <w:qFormat/>
    <w:uiPriority w:val="0"/>
    <w:rPr>
      <w:rFonts w:hint="eastAsia" w:ascii="微软雅黑" w:hAnsi="微软雅黑" w:eastAsia="微软雅黑"/>
      <w:b/>
      <w:bCs/>
      <w:sz w:val="21"/>
      <w:szCs w:val="21"/>
    </w:rPr>
  </w:style>
  <w:style w:type="character" w:customStyle="1" w:styleId="45">
    <w:name w:val="metaname1"/>
    <w:basedOn w:val="26"/>
    <w:qFormat/>
    <w:uiPriority w:val="0"/>
    <w:rPr>
      <w:rFonts w:hint="eastAsia" w:ascii="微软雅黑" w:hAnsi="微软雅黑" w:eastAsia="微软雅黑"/>
      <w:b/>
      <w:bCs/>
      <w:sz w:val="21"/>
      <w:szCs w:val="21"/>
    </w:rPr>
  </w:style>
  <w:style w:type="character" w:customStyle="1" w:styleId="46">
    <w:name w:val="sect2title1"/>
    <w:basedOn w:val="26"/>
    <w:qFormat/>
    <w:uiPriority w:val="0"/>
    <w:rPr>
      <w:rFonts w:hint="eastAsia" w:ascii="微软雅黑" w:hAnsi="微软雅黑" w:eastAsia="微软雅黑"/>
      <w:b/>
      <w:bCs/>
      <w:sz w:val="21"/>
      <w:szCs w:val="21"/>
    </w:rPr>
  </w:style>
  <w:style w:type="character" w:customStyle="1" w:styleId="47">
    <w:name w:val="title1"/>
    <w:basedOn w:val="26"/>
    <w:qFormat/>
    <w:uiPriority w:val="0"/>
    <w:rPr>
      <w:rFonts w:hint="eastAsia" w:ascii="微软雅黑" w:hAnsi="微软雅黑" w:eastAsia="微软雅黑"/>
      <w:sz w:val="21"/>
      <w:szCs w:val="21"/>
    </w:rPr>
  </w:style>
  <w:style w:type="character" w:customStyle="1" w:styleId="48">
    <w:name w:val="sect1title1"/>
    <w:basedOn w:val="26"/>
    <w:qFormat/>
    <w:uiPriority w:val="0"/>
    <w:rPr>
      <w:rFonts w:hint="eastAsia" w:ascii="微软雅黑" w:hAnsi="微软雅黑" w:eastAsia="微软雅黑"/>
      <w:b/>
      <w:bCs/>
      <w:sz w:val="21"/>
      <w:szCs w:val="21"/>
    </w:rPr>
  </w:style>
  <w:style w:type="character" w:customStyle="1" w:styleId="49">
    <w:name w:val="批注文字 字符"/>
    <w:basedOn w:val="26"/>
    <w:link w:val="7"/>
    <w:qFormat/>
    <w:uiPriority w:val="99"/>
    <w:rPr>
      <w:rFonts w:ascii="宋体" w:hAnsi="宋体" w:eastAsia="宋体" w:cs="宋体"/>
      <w:kern w:val="0"/>
    </w:rPr>
  </w:style>
  <w:style w:type="character" w:customStyle="1" w:styleId="50">
    <w:name w:val="批注主题 字符"/>
    <w:basedOn w:val="49"/>
    <w:link w:val="23"/>
    <w:semiHidden/>
    <w:qFormat/>
    <w:uiPriority w:val="99"/>
    <w:rPr>
      <w:rFonts w:ascii="宋体" w:hAnsi="宋体" w:eastAsia="宋体" w:cs="宋体"/>
      <w:b/>
      <w:bCs/>
      <w:kern w:val="0"/>
    </w:rPr>
  </w:style>
  <w:style w:type="character" w:customStyle="1" w:styleId="51">
    <w:name w:val="批注框文本 字符"/>
    <w:basedOn w:val="26"/>
    <w:link w:val="11"/>
    <w:semiHidden/>
    <w:qFormat/>
    <w:uiPriority w:val="99"/>
    <w:rPr>
      <w:rFonts w:ascii="Times New Roman" w:hAnsi="Times New Roman" w:eastAsia="宋体" w:cs="Times New Roman"/>
      <w:kern w:val="0"/>
      <w:sz w:val="18"/>
      <w:szCs w:val="18"/>
    </w:rPr>
  </w:style>
  <w:style w:type="character" w:customStyle="1" w:styleId="52">
    <w:name w:val="标题 3 字符"/>
    <w:basedOn w:val="26"/>
    <w:link w:val="4"/>
    <w:qFormat/>
    <w:uiPriority w:val="9"/>
    <w:rPr>
      <w:rFonts w:ascii="等线" w:hAnsi="等线" w:eastAsia="等线" w:cs="宋体"/>
      <w:b/>
      <w:bCs/>
      <w:kern w:val="0"/>
      <w:szCs w:val="32"/>
    </w:rPr>
  </w:style>
  <w:style w:type="character" w:customStyle="1" w:styleId="53">
    <w:name w:val="标题 2 字符"/>
    <w:basedOn w:val="26"/>
    <w:link w:val="3"/>
    <w:qFormat/>
    <w:uiPriority w:val="9"/>
    <w:rPr>
      <w:rFonts w:ascii="等线" w:hAnsi="等线" w:eastAsia="等线" w:cstheme="majorBidi"/>
      <w:b/>
      <w:bCs/>
      <w:kern w:val="0"/>
      <w:sz w:val="21"/>
      <w:szCs w:val="32"/>
    </w:rPr>
  </w:style>
  <w:style w:type="paragraph" w:customStyle="1" w:styleId="54">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5">
    <w:name w:val="Grid Table Light"/>
    <w:basedOn w:val="24"/>
    <w:qFormat/>
    <w:uiPriority w:val="40"/>
    <w:tblPr>
      <w:tblBorders>
        <w:top w:val="single" w:color="85CA7B" w:themeColor="background1" w:themeShade="BF" w:sz="4" w:space="0"/>
        <w:left w:val="single" w:color="85CA7B" w:themeColor="background1" w:themeShade="BF" w:sz="4" w:space="0"/>
        <w:bottom w:val="single" w:color="85CA7B" w:themeColor="background1" w:themeShade="BF" w:sz="4" w:space="0"/>
        <w:right w:val="single" w:color="85CA7B" w:themeColor="background1" w:themeShade="BF" w:sz="4" w:space="0"/>
        <w:insideH w:val="single" w:color="85CA7B" w:themeColor="background1" w:themeShade="BF" w:sz="4" w:space="0"/>
        <w:insideV w:val="single" w:color="85CA7B" w:themeColor="background1" w:themeShade="BF" w:sz="4" w:space="0"/>
      </w:tblBorders>
    </w:tblPr>
  </w:style>
  <w:style w:type="paragraph" w:customStyle="1" w:styleId="56">
    <w:name w:val="Revision"/>
    <w:hidden/>
    <w:semiHidden/>
    <w:qFormat/>
    <w:uiPriority w:val="99"/>
    <w:rPr>
      <w:rFonts w:ascii="宋体" w:hAnsi="宋体" w:eastAsia="宋体" w:cs="宋体"/>
      <w:kern w:val="0"/>
      <w:sz w:val="24"/>
      <w:szCs w:val="24"/>
      <w:lang w:val="en-US" w:eastAsia="zh-CN" w:bidi="ar-SA"/>
    </w:rPr>
  </w:style>
  <w:style w:type="character" w:customStyle="1" w:styleId="57">
    <w:name w:val="标题 字符"/>
    <w:basedOn w:val="26"/>
    <w:link w:val="22"/>
    <w:qFormat/>
    <w:uiPriority w:val="10"/>
    <w:rPr>
      <w:rFonts w:eastAsia="Songti SC" w:asciiTheme="majorHAnsi" w:hAnsiTheme="majorHAnsi" w:cstheme="majorBidi"/>
      <w:b/>
      <w:bCs/>
      <w:kern w:val="0"/>
      <w:sz w:val="32"/>
      <w:szCs w:val="32"/>
    </w:rPr>
  </w:style>
  <w:style w:type="character" w:customStyle="1" w:styleId="58">
    <w:name w:val="副标题 字符"/>
    <w:basedOn w:val="26"/>
    <w:link w:val="16"/>
    <w:qFormat/>
    <w:uiPriority w:val="11"/>
    <w:rPr>
      <w:rFonts w:eastAsia="等线"/>
      <w:bCs/>
      <w:kern w:val="28"/>
      <w:sz w:val="21"/>
      <w:szCs w:val="32"/>
    </w:rPr>
  </w:style>
  <w:style w:type="paragraph" w:styleId="59">
    <w:name w:val="Quote"/>
    <w:basedOn w:val="1"/>
    <w:next w:val="1"/>
    <w:link w:val="60"/>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60">
    <w:name w:val="引用 字符"/>
    <w:basedOn w:val="26"/>
    <w:link w:val="59"/>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61">
    <w:name w:val="标题 4 字符"/>
    <w:basedOn w:val="26"/>
    <w:link w:val="5"/>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411B7-0A57-6841-90FF-AF13530014DB}">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477</Words>
  <Characters>500</Characters>
  <Lines>37</Lines>
  <Paragraphs>26</Paragraphs>
  <TotalTime>0</TotalTime>
  <ScaleCrop>false</ScaleCrop>
  <LinksUpToDate>false</LinksUpToDate>
  <CharactersWithSpaces>524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fengl</dc:creator>
  <cp:lastModifiedBy>chang</cp:lastModifiedBy>
  <cp:lastPrinted>2018-09-08T01:56:00Z</cp:lastPrinted>
  <dcterms:modified xsi:type="dcterms:W3CDTF">2020-02-16T07:28:11Z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