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overflowPunct w:val="0"/>
        <w:spacing w:line="560" w:lineRule="exact"/>
        <w:rPr>
          <w:rFonts w:hint="eastAsia"/>
          <w:color w:val="000000"/>
        </w:rPr>
      </w:pPr>
    </w:p>
    <w:p>
      <w:pPr>
        <w:pStyle w:val="4"/>
        <w:keepNext w:val="0"/>
        <w:keepLines w:val="0"/>
        <w:overflowPunct w:val="0"/>
        <w:spacing w:line="560" w:lineRule="exact"/>
        <w:rPr>
          <w:rStyle w:val="17"/>
          <w:rFonts w:asciiTheme="minorEastAsia" w:hAnsiTheme="minorEastAsia" w:eastAsiaTheme="minorEastAsia" w:cstheme="minorEastAsia"/>
          <w:b/>
          <w:bCs/>
          <w:color w:val="000000" w:themeColor="text1"/>
        </w:rPr>
      </w:pPr>
      <w:r>
        <w:rPr>
          <w:rFonts w:hint="eastAsia" w:asciiTheme="majorEastAsia" w:hAnsiTheme="majorEastAsia" w:eastAsiaTheme="majorEastAsia" w:cstheme="majorEastAsia"/>
          <w:b/>
          <w:bCs/>
        </w:rPr>
        <w:fldChar w:fldCharType="begin"/>
      </w:r>
      <w:r>
        <w:rPr>
          <w:rFonts w:hint="eastAsia" w:asciiTheme="majorEastAsia" w:hAnsiTheme="majorEastAsia" w:eastAsiaTheme="majorEastAsia" w:cstheme="majorEastAsia"/>
          <w:b/>
          <w:bCs/>
        </w:rPr>
        <w:instrText xml:space="preserve"> HYPERLINK "https://law.wkinfo.com.cn/document/show?collection=legislation&amp;aid=MTAxMDAxMjUxNDA%3D&amp;showType=0" </w:instrText>
      </w:r>
      <w:r>
        <w:rPr>
          <w:rFonts w:hint="eastAsia" w:asciiTheme="majorEastAsia" w:hAnsiTheme="majorEastAsia" w:eastAsiaTheme="majorEastAsia" w:cstheme="majorEastAsia"/>
          <w:b/>
          <w:bCs/>
        </w:rPr>
        <w:fldChar w:fldCharType="separate"/>
      </w:r>
      <w:r>
        <w:rPr>
          <w:rStyle w:val="17"/>
          <w:rFonts w:hint="eastAsia" w:asciiTheme="majorEastAsia" w:hAnsiTheme="majorEastAsia" w:eastAsiaTheme="majorEastAsia" w:cstheme="majorEastAsia"/>
          <w:b/>
          <w:bCs/>
          <w:color w:val="000000" w:themeColor="text1"/>
        </w:rPr>
        <w:t>深圳经济特区绿色建筑条例</w:t>
      </w:r>
      <w:r>
        <w:rPr>
          <w:rStyle w:val="17"/>
          <w:rFonts w:hint="eastAsia" w:asciiTheme="majorEastAsia" w:hAnsiTheme="majorEastAsia" w:eastAsiaTheme="majorEastAsia" w:cstheme="majorEastAsia"/>
          <w:b/>
          <w:bCs/>
          <w:color w:val="000000" w:themeColor="text1"/>
        </w:rPr>
        <w:fldChar w:fldCharType="end"/>
      </w:r>
    </w:p>
    <w:p>
      <w:pPr>
        <w:pStyle w:val="4"/>
        <w:keepNext w:val="0"/>
        <w:keepLines w:val="0"/>
        <w:overflowPunct w:val="0"/>
        <w:spacing w:line="560" w:lineRule="exact"/>
        <w:rPr>
          <w:rFonts w:hint="eastAsia" w:ascii="楷体_GB2312" w:hAnsi="Calibri" w:eastAsia="楷体_GB2312" w:cs="Times New Roman"/>
          <w:color w:val="000000"/>
          <w:sz w:val="32"/>
          <w:szCs w:val="32"/>
        </w:rPr>
      </w:pPr>
    </w:p>
    <w:p>
      <w:pPr>
        <w:pStyle w:val="5"/>
        <w:overflowPunct w:val="0"/>
        <w:spacing w:before="0" w:beforeAutospacing="0" w:after="0" w:afterAutospacing="0" w:line="560" w:lineRule="exact"/>
        <w:ind w:firstLine="0"/>
        <w:jc w:val="center"/>
        <w:rPr>
          <w:rFonts w:ascii="楷体_GB2312" w:hAnsi="楷体_GB2312" w:eastAsia="楷体_GB2312" w:cs="楷体_GB2312"/>
          <w:color w:val="000000" w:themeColor="text1"/>
        </w:rPr>
      </w:pPr>
      <w:r>
        <w:rPr>
          <w:rFonts w:hint="eastAsia" w:ascii="楷体_GB2312" w:hAnsi="Calibri" w:eastAsia="楷体_GB2312" w:cs="Times New Roman"/>
          <w:color w:val="000000"/>
          <w:sz w:val="32"/>
          <w:szCs w:val="32"/>
        </w:rPr>
        <w:t>（</w:t>
      </w:r>
      <w:r>
        <w:rPr>
          <w:rFonts w:hint="eastAsia" w:ascii="楷体_GB2312" w:hAnsi="楷体_GB2312" w:eastAsia="楷体_GB2312" w:cs="楷体_GB2312"/>
          <w:sz w:val="32"/>
          <w:szCs w:val="32"/>
          <w:lang w:val="en-US" w:eastAsia="zh-CN"/>
        </w:rPr>
        <w:t>2022年3月28日深圳市第七届人民代表大会</w:t>
      </w:r>
      <w:r>
        <w:rPr>
          <w:rFonts w:hint="eastAsia" w:ascii="楷体_GB2312" w:hAnsi="楷体_GB2312" w:eastAsia="楷体_GB2312" w:cs="楷体_GB2312"/>
          <w:sz w:val="32"/>
          <w:szCs w:val="32"/>
          <w:lang w:eastAsia="zh-CN"/>
        </w:rPr>
        <w:t>常务委员会第</w:t>
      </w:r>
      <w:r>
        <w:rPr>
          <w:rFonts w:hint="eastAsia" w:ascii="楷体_GB2312" w:hAnsi="楷体_GB2312" w:eastAsia="楷体_GB2312" w:cs="楷体_GB2312"/>
          <w:sz w:val="32"/>
          <w:szCs w:val="32"/>
          <w:lang w:val="en-US" w:eastAsia="zh-CN"/>
        </w:rPr>
        <w:t>八</w:t>
      </w:r>
      <w:r>
        <w:rPr>
          <w:rFonts w:hint="eastAsia" w:ascii="楷体_GB2312" w:hAnsi="楷体_GB2312" w:eastAsia="楷体_GB2312" w:cs="楷体_GB2312"/>
          <w:sz w:val="32"/>
          <w:szCs w:val="32"/>
          <w:lang w:eastAsia="zh-CN"/>
        </w:rPr>
        <w:t>次会议通过</w:t>
      </w:r>
      <w:r>
        <w:rPr>
          <w:rFonts w:hint="eastAsia" w:ascii="楷体_GB2312" w:hAnsi="Calibri" w:eastAsia="楷体_GB2312" w:cs="Times New Roman"/>
          <w:color w:val="000000"/>
          <w:sz w:val="32"/>
          <w:szCs w:val="32"/>
        </w:rPr>
        <w:t>）</w:t>
      </w:r>
    </w:p>
    <w:p>
      <w:pPr>
        <w:pStyle w:val="5"/>
        <w:overflowPunct w:val="0"/>
        <w:spacing w:before="0" w:beforeAutospacing="0" w:after="0" w:afterAutospacing="0" w:line="560" w:lineRule="exact"/>
        <w:ind w:firstLine="0"/>
        <w:jc w:val="center"/>
        <w:rPr>
          <w:rFonts w:hint="eastAsia" w:ascii="楷体_GB2312" w:hAnsi="楷体_GB2312" w:eastAsia="楷体_GB2312" w:cs="楷体_GB2312"/>
          <w:color w:val="000000" w:themeColor="text1"/>
          <w:sz w:val="32"/>
          <w:szCs w:val="32"/>
        </w:rPr>
      </w:pPr>
    </w:p>
    <w:p>
      <w:pPr>
        <w:pStyle w:val="5"/>
        <w:overflowPunct w:val="0"/>
        <w:spacing w:before="0" w:beforeAutospacing="0" w:after="0" w:afterAutospacing="0" w:line="560" w:lineRule="exact"/>
        <w:ind w:firstLine="0"/>
        <w:jc w:val="center"/>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目  录</w:t>
      </w:r>
    </w:p>
    <w:p>
      <w:pPr>
        <w:pStyle w:val="5"/>
        <w:overflowPunct w:val="0"/>
        <w:spacing w:before="0" w:beforeAutospacing="0" w:after="0" w:afterAutospacing="0" w:line="560" w:lineRule="exact"/>
        <w:ind w:firstLine="0"/>
        <w:jc w:val="center"/>
        <w:rPr>
          <w:rFonts w:ascii="楷体_GB2312" w:hAnsi="楷体_GB2312" w:eastAsia="楷体_GB2312" w:cs="楷体_GB2312"/>
          <w:color w:val="000000" w:themeColor="text1"/>
          <w:sz w:val="32"/>
          <w:szCs w:val="32"/>
        </w:rPr>
      </w:pPr>
      <w:bookmarkStart w:id="1" w:name="_GoBack"/>
      <w:bookmarkEnd w:id="1"/>
    </w:p>
    <w:p>
      <w:pPr>
        <w:pStyle w:val="5"/>
        <w:overflowPunct w:val="0"/>
        <w:spacing w:before="0" w:beforeAutospacing="0" w:after="0" w:afterAutospacing="0" w:line="560" w:lineRule="exact"/>
        <w:ind w:firstLineChars="200"/>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第一章  总  则</w:t>
      </w:r>
    </w:p>
    <w:p>
      <w:pPr>
        <w:pStyle w:val="5"/>
        <w:overflowPunct w:val="0"/>
        <w:spacing w:before="0" w:beforeAutospacing="0" w:after="0" w:afterAutospacing="0" w:line="560" w:lineRule="exact"/>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第二章  规划和建设</w:t>
      </w:r>
    </w:p>
    <w:p>
      <w:pPr>
        <w:pStyle w:val="5"/>
        <w:overflowPunct w:val="0"/>
        <w:spacing w:before="0" w:beforeAutospacing="0" w:after="0" w:afterAutospacing="0" w:line="560" w:lineRule="exact"/>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第三章  运行和改造</w:t>
      </w:r>
    </w:p>
    <w:p>
      <w:pPr>
        <w:pStyle w:val="5"/>
        <w:overflowPunct w:val="0"/>
        <w:spacing w:before="0" w:beforeAutospacing="0" w:after="0" w:afterAutospacing="0" w:line="560" w:lineRule="exact"/>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第四章  性能和评价</w:t>
      </w:r>
    </w:p>
    <w:p>
      <w:pPr>
        <w:overflowPunct w:val="0"/>
        <w:spacing w:line="560" w:lineRule="exact"/>
        <w:ind w:firstLine="640" w:firstLineChars="200"/>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第五章  促进和保障</w:t>
      </w:r>
    </w:p>
    <w:p>
      <w:pPr>
        <w:pStyle w:val="5"/>
        <w:overflowPunct w:val="0"/>
        <w:spacing w:before="0" w:beforeAutospacing="0" w:after="0" w:afterAutospacing="0" w:line="560" w:lineRule="exact"/>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第六章  法律责任</w:t>
      </w:r>
    </w:p>
    <w:p>
      <w:pPr>
        <w:overflowPunct w:val="0"/>
        <w:spacing w:line="560" w:lineRule="exact"/>
        <w:ind w:firstLine="640" w:firstLineChars="200"/>
        <w:rPr>
          <w:rFonts w:ascii="楷体_GB2312" w:hAnsi="楷体_GB2312" w:eastAsia="楷体_GB2312" w:cs="楷体_GB2312"/>
          <w:color w:val="000000" w:themeColor="text1"/>
          <w:sz w:val="32"/>
          <w:szCs w:val="32"/>
        </w:rPr>
      </w:pPr>
      <w:r>
        <w:rPr>
          <w:rFonts w:hint="eastAsia" w:ascii="楷体_GB2312" w:hAnsi="楷体_GB2312" w:eastAsia="楷体_GB2312" w:cs="楷体_GB2312"/>
          <w:color w:val="000000" w:themeColor="text1"/>
          <w:sz w:val="32"/>
          <w:szCs w:val="32"/>
        </w:rPr>
        <w:t>第七章  附则</w:t>
      </w:r>
    </w:p>
    <w:p>
      <w:pPr>
        <w:overflowPunct w:val="0"/>
        <w:spacing w:line="560" w:lineRule="exact"/>
        <w:jc w:val="left"/>
        <w:rPr>
          <w:rFonts w:ascii="仿宋" w:hAnsi="仿宋" w:eastAsia="仿宋" w:cs="仿宋"/>
          <w:bCs/>
          <w:color w:val="000000" w:themeColor="text1"/>
        </w:rPr>
      </w:pPr>
      <w:r>
        <w:rPr>
          <w:rFonts w:ascii="仿宋" w:hAnsi="仿宋" w:eastAsia="仿宋" w:cs="仿宋"/>
          <w:bCs/>
          <w:color w:val="000000" w:themeColor="text1"/>
        </w:rPr>
        <w:br w:type="page"/>
      </w:r>
    </w:p>
    <w:p>
      <w:pPr>
        <w:pStyle w:val="5"/>
        <w:overflowPunct w:val="0"/>
        <w:spacing w:before="0" w:beforeAutospacing="0" w:after="0" w:afterAutospacing="0" w:line="540" w:lineRule="exact"/>
        <w:ind w:firstLine="0"/>
        <w:jc w:val="center"/>
        <w:rPr>
          <w:rFonts w:cs="黑体"/>
          <w:bCs/>
          <w:color w:val="000000" w:themeColor="text1"/>
          <w:sz w:val="32"/>
          <w:szCs w:val="32"/>
        </w:rPr>
      </w:pPr>
      <w:r>
        <w:rPr>
          <w:rFonts w:hint="eastAsia" w:cs="黑体"/>
          <w:bCs/>
          <w:color w:val="000000" w:themeColor="text1"/>
          <w:sz w:val="32"/>
          <w:szCs w:val="32"/>
        </w:rPr>
        <w:t>第一章  总  则</w:t>
      </w:r>
    </w:p>
    <w:p>
      <w:pPr>
        <w:overflowPunct w:val="0"/>
        <w:spacing w:line="540" w:lineRule="exact"/>
        <w:rPr>
          <w:rFonts w:eastAsia="仿宋_GB2312"/>
          <w:color w:val="000000" w:themeColor="text1"/>
          <w:sz w:val="32"/>
          <w:szCs w:val="32"/>
        </w:rPr>
      </w:pPr>
    </w:p>
    <w:p>
      <w:pPr>
        <w:overflowPunct w:val="0"/>
        <w:spacing w:line="540" w:lineRule="exact"/>
        <w:ind w:firstLine="640"/>
        <w:rPr>
          <w:rFonts w:ascii="仿宋_GB2312" w:hAnsi="仿宋" w:eastAsia="仿宋_GB2312" w:cs="仿宋_GB2312"/>
          <w:color w:val="000000" w:themeColor="text1"/>
          <w:sz w:val="32"/>
          <w:szCs w:val="32"/>
        </w:rPr>
      </w:pPr>
      <w:r>
        <w:rPr>
          <w:rStyle w:val="20"/>
          <w:rFonts w:hint="eastAsia" w:ascii="黑体" w:hAnsi="黑体" w:eastAsia="黑体" w:cs="黑体"/>
          <w:b w:val="0"/>
          <w:bCs/>
          <w:color w:val="000000" w:themeColor="text1"/>
          <w:sz w:val="32"/>
          <w:szCs w:val="32"/>
        </w:rPr>
        <w:t xml:space="preserve">第一条  </w:t>
      </w:r>
      <w:r>
        <w:rPr>
          <w:rStyle w:val="23"/>
          <w:rFonts w:hint="default" w:ascii="仿宋_GB2312" w:hAnsi="仿宋_GB2312" w:eastAsia="仿宋_GB2312" w:cs="仿宋_GB2312"/>
          <w:b w:val="0"/>
          <w:bCs w:val="0"/>
          <w:color w:val="000000" w:themeColor="text1"/>
          <w:sz w:val="32"/>
          <w:szCs w:val="32"/>
        </w:rPr>
        <w:t>为</w:t>
      </w:r>
      <w:r>
        <w:rPr>
          <w:rFonts w:hint="eastAsia" w:eastAsia="仿宋_GB2312"/>
          <w:color w:val="000000" w:themeColor="text1"/>
          <w:sz w:val="32"/>
          <w:szCs w:val="32"/>
        </w:rPr>
        <w:t>促进绿色建筑高质量发展，推动绿色低碳城市建设，打造可持续发展先锋，</w:t>
      </w:r>
      <w:r>
        <w:rPr>
          <w:rFonts w:hint="eastAsia" w:ascii="仿宋_GB2312" w:hAnsi="仿宋" w:eastAsia="仿宋_GB2312" w:cs="仿宋_GB2312"/>
          <w:color w:val="000000" w:themeColor="text1"/>
          <w:sz w:val="32"/>
          <w:szCs w:val="32"/>
        </w:rPr>
        <w:t>根据有关法律、行政法规的基本原则，结合深圳经济特区实际，制定本条例。</w:t>
      </w:r>
    </w:p>
    <w:p>
      <w:pPr>
        <w:overflowPunct w:val="0"/>
        <w:spacing w:line="540" w:lineRule="exact"/>
        <w:ind w:firstLine="640"/>
        <w:rPr>
          <w:rFonts w:eastAsia="仿宋_GB2312"/>
          <w:color w:val="000000" w:themeColor="text1"/>
          <w:sz w:val="32"/>
          <w:szCs w:val="32"/>
        </w:rPr>
      </w:pPr>
      <w:r>
        <w:rPr>
          <w:rStyle w:val="20"/>
          <w:rFonts w:hint="eastAsia" w:ascii="黑体" w:hAnsi="黑体" w:eastAsia="黑体" w:cs="黑体"/>
          <w:b w:val="0"/>
          <w:bCs/>
          <w:color w:val="000000" w:themeColor="text1"/>
          <w:sz w:val="32"/>
          <w:szCs w:val="32"/>
        </w:rPr>
        <w:t xml:space="preserve">第二条  </w:t>
      </w:r>
      <w:r>
        <w:rPr>
          <w:rFonts w:hint="eastAsia" w:eastAsia="仿宋_GB2312"/>
          <w:color w:val="000000" w:themeColor="text1"/>
          <w:sz w:val="32"/>
          <w:szCs w:val="32"/>
        </w:rPr>
        <w:t>深圳经济特区内从事与绿色建筑相关的规划、建设、运行、改造、拆除及其监督管理等活动适用本条例。</w:t>
      </w:r>
    </w:p>
    <w:p>
      <w:pPr>
        <w:overflowPunct w:val="0"/>
        <w:spacing w:line="540" w:lineRule="exact"/>
        <w:ind w:firstLine="640"/>
        <w:rPr>
          <w:rFonts w:eastAsia="仿宋_GB2312"/>
          <w:bCs/>
          <w:color w:val="000000" w:themeColor="text1"/>
          <w:sz w:val="32"/>
          <w:szCs w:val="32"/>
        </w:rPr>
      </w:pPr>
      <w:r>
        <w:rPr>
          <w:rStyle w:val="21"/>
          <w:rFonts w:hint="default" w:ascii="仿宋_GB2312"/>
          <w:color w:val="000000" w:themeColor="text1"/>
          <w:szCs w:val="32"/>
        </w:rPr>
        <w:t>本条例所称绿色建筑，是指在建筑全寿命期内，节约资源、保护环境、减少污染，为人们提供健康、适用、高效的使用空间，最大限度地实现人与自然和谐共生的高质量建筑，包括民用建筑和工业建筑</w:t>
      </w:r>
      <w:r>
        <w:rPr>
          <w:rFonts w:hint="eastAsia" w:eastAsia="仿宋_GB2312"/>
          <w:color w:val="000000" w:themeColor="text1"/>
          <w:sz w:val="32"/>
          <w:szCs w:val="32"/>
        </w:rPr>
        <w:t>。</w:t>
      </w:r>
    </w:p>
    <w:p>
      <w:pPr>
        <w:pStyle w:val="24"/>
        <w:overflowPunct w:val="0"/>
        <w:spacing w:before="0" w:after="0" w:line="54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 xml:space="preserve">第三条  </w:t>
      </w:r>
      <w:r>
        <w:rPr>
          <w:rStyle w:val="21"/>
          <w:rFonts w:hint="default" w:ascii="仿宋_GB2312"/>
          <w:color w:val="000000" w:themeColor="text1"/>
          <w:szCs w:val="32"/>
        </w:rPr>
        <w:t>绿色建筑各项工作应当遵循以下原则：</w:t>
      </w:r>
    </w:p>
    <w:p>
      <w:pPr>
        <w:overflowPunct w:val="0"/>
        <w:spacing w:line="540" w:lineRule="exact"/>
        <w:ind w:firstLine="640"/>
        <w:rPr>
          <w:rStyle w:val="21"/>
          <w:rFonts w:hint="default" w:ascii="仿宋_GB2312"/>
          <w:color w:val="000000" w:themeColor="text1"/>
          <w:szCs w:val="32"/>
        </w:rPr>
      </w:pPr>
      <w:r>
        <w:rPr>
          <w:rStyle w:val="21"/>
          <w:rFonts w:hint="default" w:ascii="仿宋_GB2312"/>
          <w:color w:val="000000" w:themeColor="text1"/>
          <w:szCs w:val="32"/>
        </w:rPr>
        <w:t>（一）统筹规划、标准引领、因地制宜；</w:t>
      </w:r>
    </w:p>
    <w:p>
      <w:pPr>
        <w:overflowPunct w:val="0"/>
        <w:spacing w:line="540" w:lineRule="exact"/>
        <w:ind w:firstLine="640"/>
        <w:rPr>
          <w:rStyle w:val="21"/>
          <w:rFonts w:hint="default" w:ascii="仿宋_GB2312"/>
          <w:color w:val="000000" w:themeColor="text1"/>
          <w:szCs w:val="32"/>
        </w:rPr>
      </w:pPr>
      <w:r>
        <w:rPr>
          <w:rStyle w:val="21"/>
          <w:rFonts w:hint="default" w:ascii="仿宋_GB2312"/>
          <w:color w:val="000000" w:themeColor="text1"/>
          <w:szCs w:val="32"/>
        </w:rPr>
        <w:t>（二）以人为本、节能低碳、健康宜居；</w:t>
      </w:r>
    </w:p>
    <w:p>
      <w:pPr>
        <w:overflowPunct w:val="0"/>
        <w:spacing w:line="540" w:lineRule="exact"/>
        <w:ind w:firstLine="640"/>
        <w:rPr>
          <w:rStyle w:val="21"/>
          <w:rFonts w:hint="default" w:ascii="仿宋_GB2312"/>
          <w:color w:val="000000" w:themeColor="text1"/>
          <w:szCs w:val="32"/>
        </w:rPr>
      </w:pPr>
      <w:r>
        <w:rPr>
          <w:rStyle w:val="21"/>
          <w:rFonts w:hint="default" w:ascii="仿宋_GB2312"/>
          <w:color w:val="000000" w:themeColor="text1"/>
          <w:szCs w:val="32"/>
        </w:rPr>
        <w:t>（三）政府引导、市场推动、公众参与。</w:t>
      </w:r>
    </w:p>
    <w:p>
      <w:pPr>
        <w:pStyle w:val="2"/>
        <w:overflowPunct w:val="0"/>
        <w:spacing w:after="0" w:line="540" w:lineRule="exact"/>
        <w:ind w:firstLine="480" w:firstLineChars="150"/>
        <w:rPr>
          <w:rFonts w:eastAsia="仿宋_GB2312"/>
          <w:color w:val="000000" w:themeColor="text1"/>
          <w:sz w:val="32"/>
          <w:szCs w:val="32"/>
        </w:rPr>
      </w:pPr>
      <w:r>
        <w:rPr>
          <w:rFonts w:hint="eastAsia" w:eastAsia="仿宋_GB2312"/>
          <w:color w:val="000000" w:themeColor="text1"/>
          <w:sz w:val="32"/>
          <w:szCs w:val="32"/>
        </w:rPr>
        <w:t>在建筑全寿命期内，应当在保证使用功能和室内环境质量的前提下，按照有关法律、法规、标准规范的要求采取有效措施，减少能源和资源消耗，降低碳排放。</w:t>
      </w:r>
    </w:p>
    <w:p>
      <w:pPr>
        <w:overflowPunct w:val="0"/>
        <w:spacing w:line="540" w:lineRule="exact"/>
        <w:ind w:firstLine="640"/>
        <w:rPr>
          <w:rFonts w:eastAsia="仿宋_GB2312"/>
          <w:color w:val="000000" w:themeColor="text1"/>
          <w:sz w:val="32"/>
          <w:szCs w:val="32"/>
        </w:rPr>
      </w:pPr>
      <w:r>
        <w:rPr>
          <w:rStyle w:val="20"/>
          <w:rFonts w:hint="eastAsia" w:ascii="黑体" w:hAnsi="黑体" w:eastAsia="黑体" w:cs="黑体"/>
          <w:b w:val="0"/>
          <w:bCs/>
          <w:color w:val="000000" w:themeColor="text1"/>
          <w:sz w:val="32"/>
          <w:szCs w:val="32"/>
        </w:rPr>
        <w:t xml:space="preserve">第四条  </w:t>
      </w:r>
      <w:r>
        <w:rPr>
          <w:rFonts w:eastAsia="仿宋_GB2312"/>
          <w:color w:val="000000" w:themeColor="text1"/>
          <w:sz w:val="32"/>
          <w:szCs w:val="32"/>
        </w:rPr>
        <w:t>市</w:t>
      </w:r>
      <w:r>
        <w:rPr>
          <w:rFonts w:hint="eastAsia" w:eastAsia="仿宋_GB2312"/>
          <w:color w:val="000000" w:themeColor="text1"/>
          <w:sz w:val="32"/>
          <w:szCs w:val="32"/>
        </w:rPr>
        <w:t>、区</w:t>
      </w:r>
      <w:r>
        <w:rPr>
          <w:rFonts w:eastAsia="仿宋_GB2312"/>
          <w:color w:val="000000" w:themeColor="text1"/>
          <w:sz w:val="32"/>
          <w:szCs w:val="32"/>
        </w:rPr>
        <w:t>人民政府应当将</w:t>
      </w:r>
      <w:r>
        <w:rPr>
          <w:rFonts w:hint="eastAsia" w:eastAsia="仿宋_GB2312"/>
          <w:color w:val="000000" w:themeColor="text1"/>
          <w:sz w:val="32"/>
          <w:szCs w:val="32"/>
        </w:rPr>
        <w:t>绿色建筑发展</w:t>
      </w:r>
      <w:r>
        <w:rPr>
          <w:rFonts w:eastAsia="仿宋_GB2312"/>
          <w:color w:val="000000" w:themeColor="text1"/>
          <w:sz w:val="32"/>
          <w:szCs w:val="32"/>
        </w:rPr>
        <w:t>纳入国民经济和社会发展规划</w:t>
      </w:r>
      <w:r>
        <w:rPr>
          <w:rFonts w:hint="eastAsia" w:eastAsia="仿宋_GB2312"/>
          <w:color w:val="000000" w:themeColor="text1"/>
          <w:sz w:val="32"/>
          <w:szCs w:val="32"/>
        </w:rPr>
        <w:t>，</w:t>
      </w:r>
      <w:r>
        <w:rPr>
          <w:rStyle w:val="21"/>
          <w:rFonts w:hint="default" w:ascii="仿宋_GB2312"/>
          <w:color w:val="000000" w:themeColor="text1"/>
          <w:szCs w:val="32"/>
        </w:rPr>
        <w:t>统筹协调本行政区域内绿色建筑发展的重大问题，将绿色建筑发展工作情况列为综合考核评价指标。</w:t>
      </w:r>
    </w:p>
    <w:p>
      <w:pPr>
        <w:overflowPunct w:val="0"/>
        <w:spacing w:line="560" w:lineRule="exact"/>
        <w:ind w:firstLine="640" w:firstLineChars="200"/>
        <w:rPr>
          <w:rFonts w:eastAsia="仿宋_GB2312"/>
          <w:color w:val="000000" w:themeColor="text1"/>
          <w:sz w:val="32"/>
          <w:szCs w:val="32"/>
        </w:rPr>
      </w:pPr>
      <w:r>
        <w:rPr>
          <w:rFonts w:hint="eastAsia" w:eastAsia="仿宋_GB2312"/>
          <w:color w:val="000000" w:themeColor="text1"/>
          <w:sz w:val="32"/>
          <w:szCs w:val="32"/>
        </w:rPr>
        <w:t>市住房建设行政主管部门（以下简称市住房建设主管部门）负责指导和监督管理全市绿色建筑活动，制订全市绿色建筑发展专项规划和年度实施计划，编制绿色建筑地方技术规范和标准。</w:t>
      </w:r>
    </w:p>
    <w:p>
      <w:pPr>
        <w:overflowPunct w:val="0"/>
        <w:spacing w:line="540" w:lineRule="exact"/>
        <w:ind w:firstLine="640"/>
        <w:rPr>
          <w:rFonts w:eastAsia="仿宋_GB2312"/>
          <w:color w:val="000000" w:themeColor="text1"/>
          <w:sz w:val="32"/>
          <w:szCs w:val="32"/>
        </w:rPr>
      </w:pPr>
      <w:r>
        <w:rPr>
          <w:rFonts w:hint="eastAsia" w:eastAsia="仿宋_GB2312"/>
          <w:color w:val="000000" w:themeColor="text1"/>
          <w:sz w:val="32"/>
          <w:szCs w:val="32"/>
        </w:rPr>
        <w:t>区住房建设行政主管部门（以下简称区住房建设主管部门）负责组织实施和监督管理本辖区绿色建筑活动。</w:t>
      </w:r>
    </w:p>
    <w:p>
      <w:pPr>
        <w:overflowPunct w:val="0"/>
        <w:spacing w:line="540" w:lineRule="exact"/>
        <w:ind w:firstLine="640"/>
        <w:rPr>
          <w:rFonts w:eastAsia="仿宋_GB2312"/>
          <w:color w:val="000000" w:themeColor="text1"/>
          <w:sz w:val="32"/>
          <w:szCs w:val="32"/>
        </w:rPr>
      </w:pPr>
      <w:r>
        <w:rPr>
          <w:rStyle w:val="20"/>
          <w:rFonts w:hint="eastAsia" w:ascii="黑体" w:hAnsi="黑体" w:eastAsia="黑体" w:cs="黑体"/>
          <w:b w:val="0"/>
          <w:bCs/>
          <w:color w:val="000000" w:themeColor="text1"/>
          <w:sz w:val="32"/>
          <w:szCs w:val="32"/>
        </w:rPr>
        <w:t xml:space="preserve">第五条  </w:t>
      </w:r>
      <w:r>
        <w:rPr>
          <w:rFonts w:hint="eastAsia" w:eastAsia="仿宋_GB2312"/>
          <w:color w:val="000000" w:themeColor="text1"/>
          <w:sz w:val="32"/>
          <w:szCs w:val="32"/>
        </w:rPr>
        <w:t>发展改革、教育、科技创新、工业和信息化、财政、人力资源保障、规划和自然资源、生态环境、交通运输、水务、文化广电旅游体育、卫生健康、市场监管、统计、地方金融监管、城管和综合执法等部门在各自职责范围内做好绿色建筑发展相关工作。</w:t>
      </w:r>
    </w:p>
    <w:p>
      <w:pPr>
        <w:overflowPunct w:val="0"/>
        <w:spacing w:line="540" w:lineRule="exact"/>
        <w:rPr>
          <w:rFonts w:eastAsia="仿宋_GB2312"/>
          <w:color w:val="000000"/>
          <w:sz w:val="32"/>
          <w:szCs w:val="32"/>
        </w:rPr>
      </w:pPr>
      <w:r>
        <w:rPr>
          <w:rFonts w:hint="eastAsia" w:ascii="仿宋_GB2312" w:hAnsi="仿宋_GB2312" w:eastAsia="仿宋_GB2312" w:cs="仿宋_GB2312"/>
          <w:bCs/>
          <w:color w:val="000000" w:themeColor="text1"/>
          <w:sz w:val="32"/>
          <w:szCs w:val="32"/>
        </w:rPr>
        <w:t xml:space="preserve"> </w:t>
      </w:r>
      <w:r>
        <w:rPr>
          <w:rFonts w:hint="eastAsia" w:eastAsia="仿宋_GB2312"/>
          <w:color w:val="000000" w:themeColor="text1"/>
          <w:sz w:val="32"/>
          <w:szCs w:val="32"/>
        </w:rPr>
        <w:t xml:space="preserve">   </w:t>
      </w:r>
      <w:r>
        <w:rPr>
          <w:rStyle w:val="20"/>
          <w:rFonts w:hint="eastAsia" w:ascii="黑体" w:hAnsi="黑体" w:eastAsia="黑体" w:cs="黑体"/>
          <w:b w:val="0"/>
          <w:bCs/>
          <w:color w:val="000000" w:themeColor="text1"/>
          <w:sz w:val="32"/>
          <w:szCs w:val="32"/>
        </w:rPr>
        <w:t xml:space="preserve">第六条  </w:t>
      </w:r>
      <w:r>
        <w:rPr>
          <w:rFonts w:hint="eastAsia" w:eastAsia="仿宋_GB2312"/>
          <w:color w:val="000000"/>
          <w:sz w:val="32"/>
          <w:szCs w:val="32"/>
        </w:rPr>
        <w:t>新建建筑的建设和运行应当符合不低于绿色建筑标准一星级的要求；大型公共建筑和国家机关办公建筑的建设和运行应当符合不低于绿色建筑标准二星级的要求。</w:t>
      </w:r>
    </w:p>
    <w:p>
      <w:pPr>
        <w:overflowPunct w:val="0"/>
        <w:spacing w:line="540" w:lineRule="exact"/>
        <w:ind w:firstLine="640" w:firstLineChars="200"/>
        <w:rPr>
          <w:rFonts w:eastAsia="仿宋_GB2312"/>
          <w:color w:val="000000"/>
          <w:sz w:val="32"/>
          <w:szCs w:val="32"/>
        </w:rPr>
      </w:pPr>
      <w:r>
        <w:rPr>
          <w:rFonts w:hint="eastAsia" w:eastAsia="仿宋_GB2312"/>
          <w:color w:val="000000"/>
          <w:sz w:val="32"/>
          <w:szCs w:val="32"/>
        </w:rPr>
        <w:t>鼓励既有建筑实施绿色化改造，达到既有建筑绿色改造评价标准一星级。</w:t>
      </w:r>
      <w:r>
        <w:rPr>
          <w:rFonts w:hint="eastAsia" w:eastAsia="仿宋_GB2312"/>
          <w:color w:val="000000" w:themeColor="text1"/>
          <w:sz w:val="32"/>
          <w:szCs w:val="32"/>
        </w:rPr>
        <w:t>既有建筑实施整体改造的，应当达到既有建筑绿色改造评价标准一星级以上。</w:t>
      </w:r>
    </w:p>
    <w:p>
      <w:pPr>
        <w:overflowPunct w:val="0"/>
        <w:spacing w:line="540" w:lineRule="exact"/>
        <w:ind w:firstLine="640"/>
        <w:rPr>
          <w:rStyle w:val="20"/>
          <w:rFonts w:ascii="黑体" w:hAnsi="黑体" w:eastAsia="黑体" w:cs="黑体"/>
          <w:b w:val="0"/>
          <w:bCs/>
          <w:color w:val="000000" w:themeColor="text1"/>
          <w:sz w:val="32"/>
          <w:szCs w:val="32"/>
        </w:rPr>
      </w:pPr>
      <w:r>
        <w:rPr>
          <w:rStyle w:val="20"/>
          <w:rFonts w:hint="eastAsia" w:ascii="黑体" w:hAnsi="黑体" w:eastAsia="黑体" w:cs="黑体"/>
          <w:b w:val="0"/>
          <w:bCs/>
          <w:color w:val="000000" w:themeColor="text1"/>
          <w:sz w:val="32"/>
          <w:szCs w:val="32"/>
        </w:rPr>
        <w:t xml:space="preserve">第七条  </w:t>
      </w:r>
      <w:r>
        <w:rPr>
          <w:rFonts w:hint="eastAsia" w:ascii="仿宋_GB2312" w:hAnsi="仿宋_GB2312" w:eastAsia="仿宋_GB2312" w:cs="仿宋_GB2312"/>
          <w:color w:val="000000" w:themeColor="text1"/>
          <w:sz w:val="32"/>
          <w:szCs w:val="32"/>
        </w:rPr>
        <w:t>市住房建设主管部门应当制定本市建筑领域碳排放控制目标，</w:t>
      </w:r>
      <w:r>
        <w:rPr>
          <w:rFonts w:hint="eastAsia" w:eastAsia="仿宋_GB2312"/>
          <w:color w:val="000000" w:themeColor="text1"/>
          <w:sz w:val="32"/>
          <w:szCs w:val="32"/>
        </w:rPr>
        <w:t>并会同有关部门建立建筑碳统计、碳审计、碳监测、碳公示等制度和机制，推动实现建筑领域碳中和。</w:t>
      </w:r>
    </w:p>
    <w:p>
      <w:pPr>
        <w:pStyle w:val="2"/>
        <w:overflowPunct w:val="0"/>
        <w:spacing w:after="0"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市住房建设主管部门应当研究建立建筑领域应对气候变化成效评估体系和奖惩办法。</w:t>
      </w:r>
    </w:p>
    <w:p>
      <w:pPr>
        <w:pStyle w:val="2"/>
        <w:numPr>
          <w:ilvl w:val="255"/>
          <w:numId w:val="0"/>
        </w:numPr>
        <w:overflowPunct w:val="0"/>
        <w:spacing w:after="0" w:line="540" w:lineRule="exact"/>
        <w:ind w:firstLine="640" w:firstLineChars="200"/>
        <w:rPr>
          <w:rFonts w:eastAsia="仿宋_GB2312"/>
          <w:color w:val="000000" w:themeColor="text1"/>
          <w:sz w:val="32"/>
          <w:szCs w:val="32"/>
        </w:rPr>
      </w:pPr>
      <w:r>
        <w:rPr>
          <w:rFonts w:hint="eastAsia" w:ascii="黑体" w:hAnsi="黑体" w:eastAsia="黑体" w:cs="黑体"/>
          <w:color w:val="000000" w:themeColor="text1"/>
          <w:sz w:val="32"/>
          <w:szCs w:val="32"/>
        </w:rPr>
        <w:t>第八条</w:t>
      </w:r>
      <w:r>
        <w:rPr>
          <w:rFonts w:hint="eastAsia" w:eastAsia="仿宋_GB2312"/>
          <w:color w:val="000000" w:themeColor="text1"/>
          <w:sz w:val="32"/>
          <w:szCs w:val="32"/>
        </w:rPr>
        <w:t xml:space="preserve">  市、区人民政府及其相关部门应当将绿色建筑等级要求及标准执行情况纳入建设工程质量监督管理体系。</w:t>
      </w:r>
    </w:p>
    <w:p>
      <w:pPr>
        <w:overflowPunct w:val="0"/>
        <w:spacing w:line="540" w:lineRule="exact"/>
        <w:ind w:firstLine="800" w:firstLineChars="250"/>
        <w:rPr>
          <w:rFonts w:eastAsia="仿宋_GB2312"/>
          <w:color w:val="000000" w:themeColor="text1"/>
          <w:sz w:val="32"/>
          <w:szCs w:val="32"/>
        </w:rPr>
      </w:pPr>
      <w:r>
        <w:rPr>
          <w:rFonts w:hint="eastAsia" w:eastAsia="仿宋_GB2312"/>
          <w:color w:val="000000" w:themeColor="text1"/>
          <w:sz w:val="32"/>
          <w:szCs w:val="32"/>
        </w:rPr>
        <w:t>建设单位和设计、施工、监理单位应当依法承担绿色建筑工程质量责任。</w:t>
      </w:r>
    </w:p>
    <w:p>
      <w:pPr>
        <w:overflowPunct w:val="0"/>
        <w:spacing w:line="560" w:lineRule="exact"/>
        <w:ind w:firstLine="770" w:firstLineChars="250"/>
        <w:rPr>
          <w:rFonts w:eastAsia="仿宋_GB2312"/>
          <w:color w:val="000000" w:themeColor="text1"/>
          <w:spacing w:val="-6"/>
          <w:sz w:val="32"/>
          <w:szCs w:val="32"/>
        </w:rPr>
      </w:pPr>
      <w:r>
        <w:rPr>
          <w:rFonts w:hint="eastAsia" w:eastAsia="仿宋_GB2312"/>
          <w:color w:val="000000" w:themeColor="text1"/>
          <w:spacing w:val="-6"/>
          <w:sz w:val="32"/>
          <w:szCs w:val="32"/>
        </w:rPr>
        <w:t>市、区住房建设主管部门及其他相关部门应当加强绿色建筑工程质量监督管理，监督各责任主体、项目负责人按照国家有关规定落实前款规定的绿色建筑工程质量终身责任。</w:t>
      </w:r>
    </w:p>
    <w:p>
      <w:pPr>
        <w:pStyle w:val="2"/>
        <w:overflowPunct w:val="0"/>
        <w:spacing w:after="0" w:line="560" w:lineRule="exact"/>
        <w:ind w:firstLine="640" w:firstLineChars="200"/>
        <w:rPr>
          <w:rFonts w:eastAsia="仿宋_GB2312"/>
          <w:sz w:val="32"/>
          <w:szCs w:val="32"/>
        </w:rPr>
      </w:pPr>
      <w:r>
        <w:rPr>
          <w:rFonts w:hint="eastAsia" w:ascii="黑体" w:hAnsi="黑体" w:eastAsia="黑体" w:cs="黑体"/>
          <w:sz w:val="32"/>
          <w:szCs w:val="32"/>
        </w:rPr>
        <w:t>第九条</w:t>
      </w:r>
      <w:r>
        <w:rPr>
          <w:rFonts w:hint="eastAsia" w:eastAsia="仿宋_GB2312"/>
          <w:sz w:val="32"/>
          <w:szCs w:val="32"/>
        </w:rPr>
        <w:t xml:space="preserve">  建筑物所有权人应当依法承担绿色建筑运行使用主体责任，保障建筑物绿色性能运行良好。</w:t>
      </w:r>
    </w:p>
    <w:p>
      <w:pPr>
        <w:pStyle w:val="2"/>
        <w:overflowPunct w:val="0"/>
        <w:spacing w:after="0" w:line="560" w:lineRule="exact"/>
        <w:ind w:firstLine="640" w:firstLineChars="200"/>
        <w:rPr>
          <w:rFonts w:eastAsia="仿宋_GB2312"/>
          <w:sz w:val="32"/>
          <w:szCs w:val="32"/>
        </w:rPr>
      </w:pPr>
      <w:r>
        <w:rPr>
          <w:rFonts w:hint="eastAsia" w:eastAsia="仿宋_GB2312"/>
          <w:sz w:val="32"/>
          <w:szCs w:val="32"/>
        </w:rPr>
        <w:t>建筑物所有权人、使用人及其委托的管理服务单位应当确保建筑物符合绿色建筑等级的运行要求。</w:t>
      </w:r>
    </w:p>
    <w:p>
      <w:pPr>
        <w:pStyle w:val="2"/>
        <w:numPr>
          <w:ilvl w:val="255"/>
          <w:numId w:val="0"/>
        </w:numPr>
        <w:overflowPunct w:val="0"/>
        <w:spacing w:after="0" w:line="560" w:lineRule="exact"/>
        <w:ind w:firstLine="640" w:firstLineChars="20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 xml:space="preserve">第十条  </w:t>
      </w:r>
      <w:r>
        <w:rPr>
          <w:rStyle w:val="21"/>
          <w:rFonts w:hint="default" w:ascii="仿宋_GB2312"/>
          <w:color w:val="000000" w:themeColor="text1"/>
          <w:szCs w:val="32"/>
        </w:rPr>
        <w:t>开展绿色社区创建活动，将绿色发展理念贯穿社区规划、建设、管理和服务等活动的全过程，以简约适度、绿色低碳的方式，推进社区人居环境建设和提升。</w:t>
      </w:r>
    </w:p>
    <w:p>
      <w:pPr>
        <w:pStyle w:val="2"/>
        <w:overflowPunct w:val="0"/>
        <w:spacing w:after="0" w:line="560" w:lineRule="exact"/>
        <w:ind w:firstLine="640" w:firstLineChars="200"/>
        <w:rPr>
          <w:rStyle w:val="20"/>
          <w:rFonts w:ascii="黑体" w:hAnsi="黑体" w:eastAsia="黑体" w:cs="黑体"/>
          <w:b w:val="0"/>
          <w:bCs/>
          <w:color w:val="000000" w:themeColor="text1"/>
          <w:sz w:val="32"/>
          <w:szCs w:val="32"/>
        </w:rPr>
      </w:pPr>
      <w:r>
        <w:rPr>
          <w:rStyle w:val="20"/>
          <w:rFonts w:hint="eastAsia" w:ascii="黑体" w:hAnsi="黑体" w:eastAsia="黑体" w:cs="黑体"/>
          <w:b w:val="0"/>
          <w:bCs/>
          <w:color w:val="000000" w:themeColor="text1"/>
          <w:sz w:val="32"/>
          <w:szCs w:val="32"/>
        </w:rPr>
        <w:t xml:space="preserve">第十一条  </w:t>
      </w:r>
      <w:r>
        <w:rPr>
          <w:rStyle w:val="21"/>
          <w:rFonts w:hint="default" w:ascii="仿宋_GB2312" w:hAnsi="仿宋_GB2312" w:cs="仿宋_GB2312"/>
          <w:bCs/>
          <w:color w:val="000000" w:themeColor="text1"/>
          <w:szCs w:val="32"/>
        </w:rPr>
        <w:t>大力发展超低能耗建筑，</w:t>
      </w:r>
      <w:r>
        <w:rPr>
          <w:rFonts w:hint="eastAsia" w:eastAsia="仿宋_GB2312"/>
          <w:bCs/>
          <w:color w:val="000000" w:themeColor="text1"/>
          <w:sz w:val="32"/>
          <w:szCs w:val="32"/>
        </w:rPr>
        <w:t>鼓</w:t>
      </w:r>
      <w:r>
        <w:rPr>
          <w:rFonts w:hint="eastAsia" w:eastAsia="仿宋_GB2312"/>
          <w:color w:val="000000" w:themeColor="text1"/>
          <w:sz w:val="32"/>
          <w:szCs w:val="32"/>
        </w:rPr>
        <w:t>励开展近</w:t>
      </w:r>
      <w:r>
        <w:rPr>
          <w:rFonts w:eastAsia="仿宋_GB2312"/>
          <w:color w:val="000000" w:themeColor="text1"/>
          <w:sz w:val="32"/>
          <w:szCs w:val="32"/>
        </w:rPr>
        <w:t>零</w:t>
      </w:r>
      <w:r>
        <w:rPr>
          <w:rFonts w:hint="eastAsia" w:eastAsia="仿宋_GB2312"/>
          <w:color w:val="000000" w:themeColor="text1"/>
          <w:sz w:val="32"/>
          <w:szCs w:val="32"/>
        </w:rPr>
        <w:t>能耗</w:t>
      </w:r>
      <w:r>
        <w:rPr>
          <w:rFonts w:eastAsia="仿宋_GB2312"/>
          <w:color w:val="000000" w:themeColor="text1"/>
          <w:sz w:val="32"/>
          <w:szCs w:val="32"/>
        </w:rPr>
        <w:t>建筑</w:t>
      </w:r>
      <w:r>
        <w:rPr>
          <w:rFonts w:hint="eastAsia" w:eastAsia="仿宋_GB2312"/>
          <w:color w:val="000000" w:themeColor="text1"/>
          <w:sz w:val="32"/>
          <w:szCs w:val="32"/>
        </w:rPr>
        <w:t>、零碳建筑、近零碳排放试验区的示范建设，通过规模化应用绿色建材、可再生能源等产品和技术降低建筑碳排放强度和碳排放总量，实现碳排放目标。</w:t>
      </w:r>
    </w:p>
    <w:p>
      <w:pPr>
        <w:pStyle w:val="2"/>
        <w:overflowPunct w:val="0"/>
        <w:spacing w:after="0" w:line="560" w:lineRule="exact"/>
        <w:ind w:firstLine="640" w:firstLineChars="200"/>
        <w:rPr>
          <w:rStyle w:val="21"/>
          <w:rFonts w:hint="default" w:ascii="仿宋_GB2312"/>
          <w:color w:val="000000" w:themeColor="text1"/>
          <w:szCs w:val="32"/>
        </w:rPr>
      </w:pPr>
    </w:p>
    <w:p>
      <w:pPr>
        <w:pStyle w:val="5"/>
        <w:numPr>
          <w:ilvl w:val="0"/>
          <w:numId w:val="1"/>
        </w:numPr>
        <w:overflowPunct w:val="0"/>
        <w:spacing w:before="0" w:beforeAutospacing="0" w:after="0" w:afterAutospacing="0" w:line="560" w:lineRule="exact"/>
        <w:jc w:val="left"/>
        <w:rPr>
          <w:rFonts w:cs="黑体"/>
          <w:bCs/>
          <w:color w:val="000000" w:themeColor="text1"/>
          <w:sz w:val="32"/>
          <w:szCs w:val="32"/>
        </w:rPr>
      </w:pPr>
      <w:r>
        <w:rPr>
          <w:rFonts w:hint="eastAsia" w:cs="黑体"/>
          <w:bCs/>
          <w:color w:val="000000" w:themeColor="text1"/>
          <w:sz w:val="32"/>
          <w:szCs w:val="32"/>
        </w:rPr>
        <w:t xml:space="preserve"> 规划和建设</w:t>
      </w:r>
    </w:p>
    <w:p>
      <w:pPr>
        <w:overflowPunct w:val="0"/>
        <w:spacing w:line="560" w:lineRule="exact"/>
        <w:rPr>
          <w:rFonts w:eastAsia="仿宋_GB2312"/>
          <w:color w:val="000000" w:themeColor="text1"/>
          <w:sz w:val="32"/>
          <w:szCs w:val="32"/>
        </w:rPr>
      </w:pPr>
    </w:p>
    <w:p>
      <w:pPr>
        <w:overflowPunct w:val="0"/>
        <w:spacing w:line="56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 xml:space="preserve">第十二条  </w:t>
      </w:r>
      <w:r>
        <w:rPr>
          <w:rStyle w:val="21"/>
          <w:rFonts w:hint="default" w:ascii="仿宋_GB2312"/>
          <w:color w:val="000000" w:themeColor="text1"/>
          <w:szCs w:val="32"/>
        </w:rPr>
        <w:t xml:space="preserve">市住房建设主管部门应当会同市发展改革、规划和自然资源等部门组织编制绿色建筑发展专项规划，明确绿色建筑发展目标、主要任务及保障措施。 </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pacing w:val="-11"/>
          <w:szCs w:val="32"/>
        </w:rPr>
        <w:t>绿色建筑发展专项规划应当符合国土空间规划，与生态环境保护、能源综合利用、水资源综合利用、地下空间开发利用、固体废弃物综合利用以及城市基础设施等相关专项规划相协调。</w:t>
      </w:r>
    </w:p>
    <w:p>
      <w:pPr>
        <w:overflowPunct w:val="0"/>
        <w:spacing w:line="540" w:lineRule="exact"/>
        <w:ind w:firstLine="640"/>
        <w:rPr>
          <w:rFonts w:eastAsia="仿宋_GB2312"/>
          <w:color w:val="000000" w:themeColor="text1"/>
          <w:sz w:val="32"/>
          <w:szCs w:val="32"/>
        </w:rPr>
      </w:pPr>
      <w:r>
        <w:rPr>
          <w:rFonts w:hint="eastAsia" w:eastAsia="仿宋_GB2312"/>
          <w:color w:val="000000" w:themeColor="text1"/>
          <w:sz w:val="32"/>
          <w:szCs w:val="32"/>
        </w:rPr>
        <w:t>市规划和自然资源部门应当将绿色建筑发展专项规划相关内容纳入控制性详细规划，并根据控制性详细规划在建设用地规划条件中明确绿色建筑等级、装配式等新型建筑工业化建造方式的要求。</w:t>
      </w:r>
    </w:p>
    <w:p>
      <w:pPr>
        <w:overflowPunct w:val="0"/>
        <w:spacing w:line="540" w:lineRule="exact"/>
        <w:ind w:firstLine="640"/>
        <w:rPr>
          <w:rFonts w:eastAsia="仿宋_GB2312"/>
          <w:color w:val="000000" w:themeColor="text1"/>
          <w:sz w:val="32"/>
          <w:szCs w:val="32"/>
        </w:rPr>
      </w:pPr>
      <w:r>
        <w:rPr>
          <w:rFonts w:hint="eastAsia" w:eastAsia="仿宋_GB2312"/>
          <w:color w:val="000000" w:themeColor="text1"/>
          <w:sz w:val="32"/>
          <w:szCs w:val="32"/>
        </w:rPr>
        <w:t>市、区规划和自然资源部门应当在国有建设用地使用权出让合同或者国有土地划拨决定书，以及建设工程规划许可证中注明绿色建筑等级、装配式等新型建筑工业化建造方式的要求。</w:t>
      </w:r>
    </w:p>
    <w:p>
      <w:pPr>
        <w:overflowPunct w:val="0"/>
        <w:spacing w:line="540" w:lineRule="exact"/>
        <w:ind w:firstLine="640" w:firstLineChars="200"/>
        <w:rPr>
          <w:rFonts w:eastAsia="仿宋_GB2312"/>
          <w:color w:val="000000" w:themeColor="text1"/>
          <w:sz w:val="32"/>
          <w:szCs w:val="32"/>
        </w:rPr>
      </w:pPr>
      <w:r>
        <w:rPr>
          <w:rFonts w:hint="eastAsia" w:ascii="黑体" w:hAnsi="黑体" w:eastAsia="黑体" w:cs="黑体"/>
          <w:color w:val="000000" w:themeColor="text1"/>
          <w:sz w:val="32"/>
          <w:szCs w:val="32"/>
        </w:rPr>
        <w:t>第十三条</w:t>
      </w:r>
      <w:r>
        <w:rPr>
          <w:rFonts w:hint="eastAsia" w:eastAsia="仿宋_GB2312"/>
          <w:color w:val="000000" w:themeColor="text1"/>
          <w:sz w:val="32"/>
          <w:szCs w:val="32"/>
        </w:rPr>
        <w:t xml:space="preserve">  新、改、扩建建筑在立项、规划、设计、施工等阶段，应当编制绿色专篇，明确绿色建筑等级、节能减排目标、技术路径以及装配式等新型建筑工业化建造方式的要求等内容，并将相关费用纳入工程投资概预算。</w:t>
      </w:r>
    </w:p>
    <w:p>
      <w:pPr>
        <w:pStyle w:val="24"/>
        <w:overflowPunct w:val="0"/>
        <w:spacing w:before="0" w:after="0" w:line="540" w:lineRule="exact"/>
        <w:ind w:firstLine="640"/>
        <w:rPr>
          <w:rFonts w:hAnsi="仿宋_GB2312" w:eastAsia="仿宋_GB2312" w:cs="仿宋_GB2312"/>
          <w:color w:val="000000" w:themeColor="text1"/>
          <w:sz w:val="32"/>
          <w:szCs w:val="32"/>
        </w:rPr>
      </w:pPr>
      <w:r>
        <w:rPr>
          <w:rFonts w:hint="eastAsia" w:hAnsi="仿宋_GB2312" w:eastAsia="仿宋_GB2312" w:cs="仿宋_GB2312"/>
          <w:color w:val="000000" w:themeColor="text1"/>
          <w:sz w:val="32"/>
          <w:szCs w:val="32"/>
        </w:rPr>
        <w:t>市、区规划和自然资源部门在办理建设工程规划许可证</w:t>
      </w:r>
      <w:r>
        <w:rPr>
          <w:rFonts w:hAnsi="仿宋_GB2312" w:eastAsia="仿宋_GB2312" w:cs="仿宋_GB2312"/>
          <w:color w:val="000000" w:themeColor="text1"/>
          <w:sz w:val="32"/>
          <w:szCs w:val="32"/>
        </w:rPr>
        <w:t>时，应当</w:t>
      </w:r>
      <w:r>
        <w:rPr>
          <w:rFonts w:hint="eastAsia" w:hAnsi="仿宋_GB2312" w:eastAsia="仿宋_GB2312" w:cs="仿宋_GB2312"/>
          <w:color w:val="000000" w:themeColor="text1"/>
          <w:sz w:val="32"/>
          <w:szCs w:val="32"/>
        </w:rPr>
        <w:t>对建设项目绿色专篇进行审查，不符合绿色专篇要求的，不予办理建设工程规划许可证。</w:t>
      </w:r>
    </w:p>
    <w:p>
      <w:pPr>
        <w:pStyle w:val="24"/>
        <w:overflowPunct w:val="0"/>
        <w:spacing w:before="0" w:after="0" w:line="540" w:lineRule="exact"/>
        <w:ind w:firstLine="640"/>
        <w:rPr>
          <w:rFonts w:hAnsi="仿宋_GB2312" w:eastAsia="仿宋_GB2312" w:cs="仿宋_GB2312"/>
          <w:color w:val="000000" w:themeColor="text1"/>
          <w:sz w:val="32"/>
          <w:szCs w:val="32"/>
        </w:rPr>
      </w:pPr>
      <w:r>
        <w:rPr>
          <w:rFonts w:hint="eastAsia" w:hAnsi="仿宋_GB2312" w:eastAsia="仿宋_GB2312" w:cs="仿宋_GB2312"/>
          <w:color w:val="000000" w:themeColor="text1"/>
          <w:sz w:val="32"/>
          <w:szCs w:val="32"/>
        </w:rPr>
        <w:t>设计、施工、监理单位应当按照绿色专篇关于绿色建筑等级及相关要求开展设计、施工、监理活动。</w:t>
      </w:r>
    </w:p>
    <w:p>
      <w:pPr>
        <w:pStyle w:val="24"/>
        <w:overflowPunct w:val="0"/>
        <w:spacing w:before="0" w:after="0" w:line="540" w:lineRule="exact"/>
        <w:ind w:firstLine="640"/>
        <w:rPr>
          <w:rFonts w:hAnsi="仿宋_GB2312" w:eastAsia="仿宋_GB2312" w:cs="仿宋_GB2312"/>
          <w:color w:val="000000" w:themeColor="text1"/>
          <w:sz w:val="32"/>
          <w:szCs w:val="32"/>
        </w:rPr>
      </w:pPr>
      <w:r>
        <w:rPr>
          <w:rFonts w:hint="eastAsia" w:hAnsi="仿宋_GB2312" w:eastAsia="仿宋_GB2312" w:cs="仿宋_GB2312"/>
          <w:color w:val="000000" w:themeColor="text1"/>
          <w:sz w:val="32"/>
          <w:szCs w:val="32"/>
        </w:rPr>
        <w:t>绿色专篇的编制要求由市住房建设主管部门另行制定。</w:t>
      </w:r>
    </w:p>
    <w:p>
      <w:pPr>
        <w:overflowPunct w:val="0"/>
        <w:spacing w:line="540" w:lineRule="exact"/>
        <w:ind w:firstLine="640" w:firstLineChars="200"/>
        <w:rPr>
          <w:rFonts w:ascii="黑体" w:hAnsi="黑体" w:eastAsia="黑体" w:cs="黑体"/>
          <w:color w:val="000000" w:themeColor="text1"/>
          <w:sz w:val="32"/>
          <w:szCs w:val="32"/>
        </w:rPr>
      </w:pPr>
      <w:r>
        <w:rPr>
          <w:rFonts w:hint="eastAsia" w:ascii="黑体" w:hAnsi="黑体" w:eastAsia="黑体" w:cs="黑体"/>
          <w:color w:val="000000" w:themeColor="text1"/>
          <w:sz w:val="32"/>
          <w:szCs w:val="32"/>
        </w:rPr>
        <w:t xml:space="preserve">第十四条  </w:t>
      </w:r>
      <w:r>
        <w:rPr>
          <w:rFonts w:hint="eastAsia" w:ascii="仿宋_GB2312" w:hAnsi="仿宋_GB2312" w:eastAsia="仿宋_GB2312" w:cs="仿宋_GB2312"/>
          <w:color w:val="000000" w:themeColor="text1"/>
          <w:sz w:val="32"/>
          <w:szCs w:val="32"/>
        </w:rPr>
        <w:t>建设单位应当按照不低于建设工程规划许可证注明的绿色建筑等级及相关要求进行建设，加强对绿色建筑建设全过程的质量管理。</w:t>
      </w:r>
    </w:p>
    <w:p>
      <w:pPr>
        <w:overflowPunct w:val="0"/>
        <w:spacing w:line="540" w:lineRule="exact"/>
        <w:ind w:firstLine="640" w:firstLineChars="200"/>
        <w:rPr>
          <w:rFonts w:eastAsia="仿宋_GB2312"/>
          <w:color w:val="000000" w:themeColor="text1"/>
          <w:sz w:val="32"/>
          <w:szCs w:val="32"/>
        </w:rPr>
      </w:pPr>
      <w:r>
        <w:rPr>
          <w:rFonts w:eastAsia="仿宋_GB2312"/>
          <w:color w:val="000000" w:themeColor="text1"/>
          <w:sz w:val="32"/>
          <w:szCs w:val="32"/>
        </w:rPr>
        <w:t>建设单位在进行建设项目咨询、设计、施工、监理的招标或者委托时，应当</w:t>
      </w:r>
      <w:r>
        <w:rPr>
          <w:rFonts w:hint="eastAsia" w:eastAsia="仿宋_GB2312"/>
          <w:color w:val="000000" w:themeColor="text1"/>
          <w:sz w:val="32"/>
          <w:szCs w:val="32"/>
        </w:rPr>
        <w:t>在招标文件和合同中载明</w:t>
      </w:r>
      <w:r>
        <w:rPr>
          <w:rFonts w:eastAsia="仿宋_GB2312"/>
          <w:color w:val="000000" w:themeColor="text1"/>
          <w:sz w:val="32"/>
          <w:szCs w:val="32"/>
        </w:rPr>
        <w:t>建设项目的绿色建筑</w:t>
      </w:r>
      <w:r>
        <w:rPr>
          <w:rFonts w:hint="eastAsia" w:eastAsia="仿宋_GB2312"/>
          <w:color w:val="000000" w:themeColor="text1"/>
          <w:sz w:val="32"/>
          <w:szCs w:val="32"/>
        </w:rPr>
        <w:t>等级及相关</w:t>
      </w:r>
      <w:r>
        <w:rPr>
          <w:rFonts w:eastAsia="仿宋_GB2312"/>
          <w:color w:val="000000" w:themeColor="text1"/>
          <w:sz w:val="32"/>
          <w:szCs w:val="32"/>
        </w:rPr>
        <w:t>要求。</w:t>
      </w:r>
    </w:p>
    <w:p>
      <w:pPr>
        <w:overflowPunct w:val="0"/>
        <w:spacing w:line="560" w:lineRule="exact"/>
        <w:ind w:firstLine="640" w:firstLineChars="200"/>
        <w:rPr>
          <w:rFonts w:eastAsia="仿宋_GB2312"/>
          <w:color w:val="000000" w:themeColor="text1"/>
          <w:sz w:val="32"/>
          <w:szCs w:val="32"/>
        </w:rPr>
      </w:pPr>
      <w:r>
        <w:rPr>
          <w:rFonts w:hint="eastAsia" w:eastAsia="仿宋_GB2312"/>
          <w:color w:val="000000" w:themeColor="text1"/>
          <w:sz w:val="32"/>
          <w:szCs w:val="32"/>
        </w:rPr>
        <w:t>建设单位不得以任何方式要求其委托的单位违反绿色建筑标准进行项目设计、施工、监理。</w:t>
      </w:r>
    </w:p>
    <w:p>
      <w:pPr>
        <w:overflowPunct w:val="0"/>
        <w:spacing w:line="580" w:lineRule="exact"/>
        <w:ind w:firstLine="640"/>
        <w:rPr>
          <w:rFonts w:eastAsia="仿宋_GB2312"/>
          <w:color w:val="000000" w:themeColor="text1"/>
          <w:sz w:val="32"/>
          <w:szCs w:val="32"/>
        </w:rPr>
      </w:pPr>
      <w:r>
        <w:rPr>
          <w:rFonts w:hint="eastAsia" w:ascii="黑体" w:hAnsi="黑体" w:eastAsia="黑体" w:cs="黑体"/>
          <w:color w:val="000000" w:themeColor="text1"/>
          <w:sz w:val="32"/>
          <w:szCs w:val="32"/>
        </w:rPr>
        <w:t>第十五条</w:t>
      </w:r>
      <w:r>
        <w:rPr>
          <w:rFonts w:hint="eastAsia" w:eastAsia="仿宋_GB2312"/>
          <w:color w:val="000000" w:themeColor="text1"/>
          <w:sz w:val="32"/>
          <w:szCs w:val="32"/>
        </w:rPr>
        <w:t xml:space="preserve">  </w:t>
      </w:r>
      <w:r>
        <w:rPr>
          <w:rFonts w:eastAsia="仿宋_GB2312"/>
          <w:color w:val="000000" w:themeColor="text1"/>
          <w:sz w:val="32"/>
          <w:szCs w:val="32"/>
        </w:rPr>
        <w:t>建设单位应当</w:t>
      </w:r>
      <w:r>
        <w:rPr>
          <w:rFonts w:hint="eastAsia" w:eastAsia="仿宋_GB2312"/>
          <w:color w:val="000000" w:themeColor="text1"/>
          <w:sz w:val="32"/>
          <w:szCs w:val="32"/>
        </w:rPr>
        <w:t>在组织绿色建筑专项验收前</w:t>
      </w:r>
      <w:r>
        <w:rPr>
          <w:rFonts w:eastAsia="仿宋_GB2312"/>
          <w:color w:val="000000" w:themeColor="text1"/>
          <w:sz w:val="32"/>
          <w:szCs w:val="32"/>
        </w:rPr>
        <w:t>委托具有资质的第三方</w:t>
      </w:r>
      <w:r>
        <w:rPr>
          <w:rFonts w:hint="eastAsia" w:eastAsia="仿宋_GB2312"/>
          <w:color w:val="000000" w:themeColor="text1"/>
          <w:sz w:val="32"/>
          <w:szCs w:val="32"/>
        </w:rPr>
        <w:t>评估</w:t>
      </w:r>
      <w:r>
        <w:rPr>
          <w:rFonts w:eastAsia="仿宋_GB2312"/>
          <w:color w:val="000000" w:themeColor="text1"/>
          <w:sz w:val="32"/>
          <w:szCs w:val="32"/>
        </w:rPr>
        <w:t>机构对绿色建筑</w:t>
      </w:r>
      <w:r>
        <w:rPr>
          <w:rFonts w:hint="eastAsia" w:eastAsia="仿宋_GB2312"/>
          <w:color w:val="000000" w:themeColor="text1"/>
          <w:sz w:val="32"/>
          <w:szCs w:val="32"/>
        </w:rPr>
        <w:t>等级进行符合性评估。</w:t>
      </w:r>
    </w:p>
    <w:p>
      <w:pPr>
        <w:overflowPunct w:val="0"/>
        <w:spacing w:line="580" w:lineRule="exact"/>
        <w:ind w:firstLine="640"/>
        <w:rPr>
          <w:rFonts w:eastAsia="仿宋_GB2312"/>
          <w:color w:val="000000" w:themeColor="text1"/>
          <w:sz w:val="32"/>
          <w:szCs w:val="32"/>
        </w:rPr>
      </w:pPr>
      <w:r>
        <w:rPr>
          <w:rFonts w:eastAsia="仿宋_GB2312"/>
          <w:color w:val="000000" w:themeColor="text1"/>
          <w:sz w:val="32"/>
          <w:szCs w:val="32"/>
        </w:rPr>
        <w:t>第三方</w:t>
      </w:r>
      <w:r>
        <w:rPr>
          <w:rFonts w:hint="eastAsia" w:eastAsia="仿宋_GB2312"/>
          <w:color w:val="000000" w:themeColor="text1"/>
          <w:sz w:val="32"/>
          <w:szCs w:val="32"/>
        </w:rPr>
        <w:t>评估</w:t>
      </w:r>
      <w:r>
        <w:rPr>
          <w:rFonts w:eastAsia="仿宋_GB2312"/>
          <w:color w:val="000000" w:themeColor="text1"/>
          <w:sz w:val="32"/>
          <w:szCs w:val="32"/>
        </w:rPr>
        <w:t>机构应当出具评估报告，</w:t>
      </w:r>
      <w:r>
        <w:rPr>
          <w:rFonts w:hint="eastAsia" w:eastAsia="仿宋_GB2312"/>
          <w:color w:val="000000" w:themeColor="text1"/>
          <w:sz w:val="32"/>
          <w:szCs w:val="32"/>
        </w:rPr>
        <w:t>对评估报告的真实性和准确性负责。</w:t>
      </w:r>
    </w:p>
    <w:p>
      <w:pPr>
        <w:overflowPunct w:val="0"/>
        <w:spacing w:line="580" w:lineRule="exact"/>
        <w:ind w:firstLine="640"/>
        <w:rPr>
          <w:rFonts w:eastAsia="仿宋_GB2312"/>
          <w:color w:val="000000" w:themeColor="text1"/>
          <w:sz w:val="32"/>
          <w:szCs w:val="32"/>
        </w:rPr>
      </w:pPr>
      <w:r>
        <w:rPr>
          <w:rFonts w:hint="eastAsia" w:ascii="黑体" w:hAnsi="黑体" w:eastAsia="黑体" w:cs="黑体"/>
          <w:color w:val="000000" w:themeColor="text1"/>
          <w:sz w:val="32"/>
          <w:szCs w:val="32"/>
        </w:rPr>
        <w:t xml:space="preserve">第十六条  </w:t>
      </w:r>
      <w:r>
        <w:rPr>
          <w:rFonts w:hint="eastAsia" w:eastAsia="仿宋_GB2312"/>
          <w:color w:val="000000" w:themeColor="text1"/>
          <w:sz w:val="32"/>
          <w:szCs w:val="32"/>
        </w:rPr>
        <w:t>建设单位应当在竣工验收前</w:t>
      </w:r>
      <w:r>
        <w:rPr>
          <w:rFonts w:eastAsia="仿宋_GB2312"/>
          <w:color w:val="000000" w:themeColor="text1"/>
          <w:sz w:val="32"/>
          <w:szCs w:val="32"/>
        </w:rPr>
        <w:t>组织设计、施工、监理等有关单位进行绿色建筑专项验收，并出具专项验收报告。不符合</w:t>
      </w:r>
      <w:r>
        <w:rPr>
          <w:rFonts w:hint="eastAsia" w:eastAsia="仿宋_GB2312"/>
          <w:color w:val="000000" w:themeColor="text1"/>
          <w:sz w:val="32"/>
          <w:szCs w:val="32"/>
        </w:rPr>
        <w:t>工程建设标准、</w:t>
      </w:r>
      <w:r>
        <w:rPr>
          <w:rFonts w:eastAsia="仿宋_GB2312"/>
          <w:color w:val="000000" w:themeColor="text1"/>
          <w:sz w:val="32"/>
          <w:szCs w:val="32"/>
        </w:rPr>
        <w:t>施工图设计文件和</w:t>
      </w:r>
      <w:r>
        <w:rPr>
          <w:rFonts w:hint="eastAsia" w:eastAsia="仿宋_GB2312"/>
          <w:color w:val="000000" w:themeColor="text1"/>
          <w:sz w:val="32"/>
          <w:szCs w:val="32"/>
        </w:rPr>
        <w:t>绿色专篇</w:t>
      </w:r>
      <w:r>
        <w:rPr>
          <w:rFonts w:eastAsia="仿宋_GB2312"/>
          <w:color w:val="000000" w:themeColor="text1"/>
          <w:sz w:val="32"/>
          <w:szCs w:val="32"/>
        </w:rPr>
        <w:t>要求的，不得出具专项验收</w:t>
      </w:r>
      <w:r>
        <w:rPr>
          <w:rFonts w:hint="eastAsia" w:eastAsia="仿宋_GB2312"/>
          <w:color w:val="000000" w:themeColor="text1"/>
          <w:sz w:val="32"/>
          <w:szCs w:val="32"/>
        </w:rPr>
        <w:t>合格</w:t>
      </w:r>
      <w:r>
        <w:rPr>
          <w:rFonts w:eastAsia="仿宋_GB2312"/>
          <w:color w:val="000000" w:themeColor="text1"/>
          <w:sz w:val="32"/>
          <w:szCs w:val="32"/>
        </w:rPr>
        <w:t>报告，不得通过竣工验收。</w:t>
      </w:r>
    </w:p>
    <w:p>
      <w:pPr>
        <w:pStyle w:val="2"/>
        <w:overflowPunct w:val="0"/>
        <w:spacing w:after="0" w:line="580" w:lineRule="exact"/>
        <w:ind w:firstLine="640"/>
        <w:rPr>
          <w:rFonts w:eastAsia="仿宋_GB2312"/>
          <w:sz w:val="32"/>
          <w:szCs w:val="32"/>
        </w:rPr>
      </w:pPr>
      <w:r>
        <w:rPr>
          <w:rFonts w:hint="eastAsia" w:eastAsia="仿宋_GB2312"/>
          <w:sz w:val="32"/>
          <w:szCs w:val="32"/>
        </w:rPr>
        <w:t>市、区住房建设主管部门应当对建设单位的绿色建筑专项验收情况进行抽查检查。</w:t>
      </w:r>
    </w:p>
    <w:p>
      <w:pPr>
        <w:overflowPunct w:val="0"/>
        <w:spacing w:line="58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第十七</w:t>
      </w:r>
      <w:r>
        <w:rPr>
          <w:rStyle w:val="21"/>
          <w:rFonts w:hint="default" w:ascii="黑体" w:hAnsi="黑体" w:eastAsia="黑体" w:cs="黑体"/>
          <w:bCs/>
          <w:color w:val="000000" w:themeColor="text1"/>
          <w:szCs w:val="32"/>
        </w:rPr>
        <w:t>条</w:t>
      </w:r>
      <w:r>
        <w:rPr>
          <w:rStyle w:val="20"/>
          <w:rFonts w:hint="eastAsia" w:ascii="黑体" w:hAnsi="黑体" w:eastAsia="黑体" w:cs="黑体"/>
          <w:b w:val="0"/>
          <w:bCs/>
          <w:color w:val="000000" w:themeColor="text1"/>
          <w:sz w:val="32"/>
          <w:szCs w:val="32"/>
        </w:rPr>
        <w:t xml:space="preserve">  </w:t>
      </w:r>
      <w:r>
        <w:rPr>
          <w:rStyle w:val="21"/>
          <w:rFonts w:hint="default" w:ascii="仿宋_GB2312"/>
          <w:color w:val="000000" w:themeColor="text1"/>
          <w:szCs w:val="32"/>
        </w:rPr>
        <w:t>民用建筑室内装饰装修工程应当采取有效的室内污染防控措施，</w:t>
      </w:r>
      <w:r>
        <w:rPr>
          <w:rFonts w:hint="eastAsia" w:eastAsia="仿宋_GB2312"/>
          <w:color w:val="000000" w:themeColor="text1"/>
          <w:sz w:val="32"/>
          <w:szCs w:val="32"/>
        </w:rPr>
        <w:t>室内空气</w:t>
      </w:r>
      <w:r>
        <w:rPr>
          <w:rFonts w:hint="eastAsia" w:eastAsia="仿宋_GB2312"/>
          <w:bCs/>
          <w:color w:val="000000" w:themeColor="text1"/>
          <w:sz w:val="32"/>
          <w:szCs w:val="32"/>
        </w:rPr>
        <w:t>质量、建筑和装饰装修材料均</w:t>
      </w:r>
      <w:r>
        <w:rPr>
          <w:rFonts w:eastAsia="仿宋_GB2312"/>
          <w:bCs/>
          <w:color w:val="000000" w:themeColor="text1"/>
          <w:sz w:val="32"/>
          <w:szCs w:val="32"/>
        </w:rPr>
        <w:t>应当符合</w:t>
      </w:r>
      <w:r>
        <w:rPr>
          <w:rFonts w:hint="eastAsia" w:eastAsia="仿宋_GB2312"/>
          <w:bCs/>
          <w:color w:val="000000" w:themeColor="text1"/>
          <w:sz w:val="32"/>
          <w:szCs w:val="32"/>
        </w:rPr>
        <w:t>国家和地方标准要求</w:t>
      </w:r>
      <w:r>
        <w:rPr>
          <w:rStyle w:val="21"/>
          <w:rFonts w:hint="default" w:ascii="仿宋_GB2312"/>
          <w:color w:val="000000" w:themeColor="text1"/>
          <w:szCs w:val="32"/>
        </w:rPr>
        <w:t>。</w:t>
      </w:r>
    </w:p>
    <w:p>
      <w:pPr>
        <w:pStyle w:val="2"/>
        <w:overflowPunct w:val="0"/>
        <w:spacing w:after="0" w:line="580" w:lineRule="exact"/>
        <w:ind w:firstLine="420"/>
        <w:rPr>
          <w:rFonts w:eastAsia="仿宋_GB2312"/>
          <w:color w:val="000000" w:themeColor="text1"/>
          <w:sz w:val="32"/>
          <w:szCs w:val="32"/>
        </w:rPr>
      </w:pPr>
    </w:p>
    <w:p>
      <w:pPr>
        <w:pStyle w:val="5"/>
        <w:numPr>
          <w:ilvl w:val="0"/>
          <w:numId w:val="1"/>
        </w:numPr>
        <w:overflowPunct w:val="0"/>
        <w:spacing w:before="0" w:beforeAutospacing="0" w:after="0" w:afterAutospacing="0" w:line="580" w:lineRule="exact"/>
        <w:jc w:val="left"/>
        <w:rPr>
          <w:rFonts w:cs="黑体"/>
          <w:bCs/>
          <w:color w:val="000000" w:themeColor="text1"/>
          <w:sz w:val="32"/>
          <w:szCs w:val="32"/>
        </w:rPr>
      </w:pPr>
      <w:r>
        <w:rPr>
          <w:rFonts w:hint="eastAsia" w:cs="黑体"/>
          <w:bCs/>
          <w:color w:val="000000" w:themeColor="text1"/>
          <w:sz w:val="32"/>
          <w:szCs w:val="32"/>
        </w:rPr>
        <w:t xml:space="preserve"> 运行和改造</w:t>
      </w:r>
    </w:p>
    <w:p>
      <w:pPr>
        <w:overflowPunct w:val="0"/>
        <w:spacing w:line="580" w:lineRule="exact"/>
        <w:ind w:left="2560"/>
        <w:rPr>
          <w:rFonts w:eastAsia="仿宋_GB2312"/>
          <w:color w:val="000000" w:themeColor="text1"/>
          <w:sz w:val="32"/>
          <w:szCs w:val="32"/>
        </w:rPr>
      </w:pPr>
    </w:p>
    <w:p>
      <w:pPr>
        <w:overflowPunct w:val="0"/>
        <w:spacing w:line="580" w:lineRule="exact"/>
        <w:ind w:firstLine="640"/>
        <w:rPr>
          <w:rFonts w:eastAsia="仿宋_GB2312" w:asciiTheme="minorHAnsi" w:hAnsiTheme="minorHAnsi" w:cstheme="minorBidi"/>
          <w:sz w:val="32"/>
          <w:szCs w:val="32"/>
        </w:rPr>
      </w:pPr>
      <w:r>
        <w:rPr>
          <w:rStyle w:val="20"/>
          <w:rFonts w:hint="eastAsia" w:ascii="黑体" w:hAnsi="黑体" w:eastAsia="黑体" w:cs="黑体"/>
          <w:b w:val="0"/>
          <w:bCs/>
          <w:color w:val="000000" w:themeColor="text1"/>
          <w:sz w:val="32"/>
          <w:szCs w:val="32"/>
        </w:rPr>
        <w:t>第十八条</w:t>
      </w:r>
      <w:r>
        <w:rPr>
          <w:rStyle w:val="20"/>
          <w:rFonts w:hint="eastAsia" w:eastAsia="黑体"/>
          <w:color w:val="000000" w:themeColor="text1"/>
          <w:sz w:val="32"/>
          <w:szCs w:val="32"/>
        </w:rPr>
        <w:t xml:space="preserve">  </w:t>
      </w:r>
      <w:r>
        <w:rPr>
          <w:rFonts w:hint="eastAsia" w:eastAsia="仿宋_GB2312" w:asciiTheme="minorHAnsi" w:hAnsiTheme="minorHAnsi" w:cstheme="minorBidi"/>
          <w:sz w:val="32"/>
          <w:szCs w:val="32"/>
        </w:rPr>
        <w:t>建设单位在建设工程交付或者移交使用时，应当向建筑物所有权人、使用权人或者其委托的物业服务企业提供绿色建筑专项验收报告、质量保证书和使用说明书。</w:t>
      </w:r>
    </w:p>
    <w:p>
      <w:pPr>
        <w:overflowPunct w:val="0"/>
        <w:spacing w:line="540" w:lineRule="exact"/>
        <w:ind w:firstLine="640" w:firstLineChars="200"/>
        <w:rPr>
          <w:rFonts w:eastAsia="仿宋_GB2312" w:asciiTheme="minorHAnsi" w:hAnsiTheme="minorHAnsi" w:cstheme="minorBidi"/>
          <w:sz w:val="32"/>
          <w:szCs w:val="32"/>
        </w:rPr>
      </w:pPr>
      <w:r>
        <w:rPr>
          <w:rFonts w:eastAsia="仿宋_GB2312" w:asciiTheme="minorHAnsi" w:hAnsiTheme="minorHAnsi" w:cstheme="minorBidi"/>
          <w:sz w:val="32"/>
          <w:szCs w:val="32"/>
        </w:rPr>
        <w:t>质量保证书中应当载明绿色建筑等级及相关指标，明确质量保修范围、期限等质量保修责任和违约责任。使用说明书中应当</w:t>
      </w:r>
      <w:r>
        <w:rPr>
          <w:rFonts w:hint="eastAsia" w:eastAsia="仿宋_GB2312" w:cstheme="minorBidi"/>
          <w:sz w:val="32"/>
          <w:szCs w:val="32"/>
        </w:rPr>
        <w:t>载明</w:t>
      </w:r>
      <w:r>
        <w:rPr>
          <w:rFonts w:eastAsia="仿宋_GB2312" w:asciiTheme="minorHAnsi" w:hAnsiTheme="minorHAnsi" w:cstheme="minorBidi"/>
          <w:sz w:val="32"/>
          <w:szCs w:val="32"/>
        </w:rPr>
        <w:t>绿色建筑相关性能要求、绿色技术措施、设施设备清单和使用说明。</w:t>
      </w:r>
    </w:p>
    <w:p>
      <w:pPr>
        <w:overflowPunct w:val="0"/>
        <w:spacing w:line="540" w:lineRule="exact"/>
        <w:ind w:firstLine="640"/>
        <w:rPr>
          <w:rFonts w:eastAsia="仿宋_GB2312"/>
          <w:sz w:val="32"/>
          <w:szCs w:val="32"/>
        </w:rPr>
      </w:pPr>
      <w:r>
        <w:rPr>
          <w:rFonts w:hint="eastAsia" w:ascii="黑体" w:hAnsi="黑体" w:eastAsia="黑体" w:cs="黑体"/>
          <w:sz w:val="32"/>
          <w:szCs w:val="32"/>
        </w:rPr>
        <w:t>第十九条</w:t>
      </w:r>
      <w:r>
        <w:rPr>
          <w:rFonts w:hint="eastAsia" w:eastAsia="仿宋_GB2312"/>
          <w:sz w:val="32"/>
          <w:szCs w:val="32"/>
        </w:rPr>
        <w:t xml:space="preserve">  建立</w:t>
      </w:r>
      <w:r>
        <w:rPr>
          <w:rFonts w:eastAsia="仿宋_GB2312"/>
          <w:sz w:val="32"/>
          <w:szCs w:val="32"/>
        </w:rPr>
        <w:t>绿色</w:t>
      </w:r>
      <w:r>
        <w:rPr>
          <w:rFonts w:hint="eastAsia" w:eastAsia="仿宋_GB2312"/>
          <w:sz w:val="32"/>
          <w:szCs w:val="32"/>
        </w:rPr>
        <w:t>住宅</w:t>
      </w:r>
      <w:r>
        <w:rPr>
          <w:rFonts w:eastAsia="仿宋_GB2312"/>
          <w:sz w:val="32"/>
          <w:szCs w:val="32"/>
        </w:rPr>
        <w:t>使用者监督机制</w:t>
      </w:r>
      <w:r>
        <w:rPr>
          <w:rFonts w:hint="eastAsia" w:eastAsia="仿宋_GB2312"/>
          <w:sz w:val="32"/>
          <w:szCs w:val="32"/>
        </w:rPr>
        <w:t>。</w:t>
      </w:r>
      <w:r>
        <w:rPr>
          <w:rFonts w:hint="eastAsia" w:eastAsia="仿宋_GB2312"/>
          <w:color w:val="000000" w:themeColor="text1"/>
          <w:sz w:val="32"/>
          <w:szCs w:val="32"/>
        </w:rPr>
        <w:t>房地产开发企业销售房屋时，应当在房屋销售合同中载明和在销售现场明示</w:t>
      </w:r>
      <w:bookmarkStart w:id="0" w:name="_Hlk78305123"/>
      <w:r>
        <w:rPr>
          <w:rFonts w:hint="eastAsia" w:eastAsia="仿宋_GB2312"/>
          <w:color w:val="000000" w:themeColor="text1"/>
          <w:sz w:val="32"/>
          <w:szCs w:val="32"/>
        </w:rPr>
        <w:t>绿色建筑等级及相关性能指标</w:t>
      </w:r>
      <w:bookmarkEnd w:id="0"/>
      <w:r>
        <w:rPr>
          <w:rFonts w:hint="eastAsia" w:eastAsia="仿宋_GB2312"/>
          <w:color w:val="000000" w:themeColor="text1"/>
          <w:sz w:val="32"/>
          <w:szCs w:val="32"/>
        </w:rPr>
        <w:t>，并</w:t>
      </w:r>
      <w:r>
        <w:rPr>
          <w:rFonts w:eastAsia="仿宋_GB2312"/>
          <w:sz w:val="32"/>
          <w:szCs w:val="32"/>
        </w:rPr>
        <w:t>在房屋交付或者移交使用时</w:t>
      </w:r>
      <w:r>
        <w:rPr>
          <w:rFonts w:hint="eastAsia" w:eastAsia="仿宋_GB2312"/>
          <w:sz w:val="32"/>
          <w:szCs w:val="32"/>
        </w:rPr>
        <w:t>向购房人提供验房指南，配合购房人做好验房工作。</w:t>
      </w:r>
    </w:p>
    <w:p>
      <w:pPr>
        <w:pStyle w:val="2"/>
        <w:overflowPunct w:val="0"/>
        <w:spacing w:after="0" w:line="540" w:lineRule="exact"/>
        <w:ind w:firstLine="640" w:firstLineChars="200"/>
        <w:rPr>
          <w:rFonts w:eastAsia="仿宋_GB2312"/>
          <w:color w:val="000000" w:themeColor="text1"/>
          <w:sz w:val="32"/>
          <w:szCs w:val="32"/>
        </w:rPr>
      </w:pPr>
      <w:r>
        <w:rPr>
          <w:rStyle w:val="20"/>
          <w:rFonts w:hint="eastAsia" w:ascii="黑体" w:hAnsi="黑体" w:eastAsia="黑体" w:cs="黑体"/>
          <w:b w:val="0"/>
          <w:color w:val="000000" w:themeColor="text1"/>
          <w:sz w:val="32"/>
          <w:szCs w:val="32"/>
        </w:rPr>
        <w:t>第二十条</w:t>
      </w:r>
      <w:r>
        <w:rPr>
          <w:rFonts w:hint="eastAsia" w:eastAsia="仿宋_GB2312"/>
          <w:color w:val="000000" w:themeColor="text1"/>
          <w:sz w:val="32"/>
          <w:szCs w:val="32"/>
        </w:rPr>
        <w:t xml:space="preserve">  绿色建筑的运行应当符合下列要求：</w:t>
      </w:r>
    </w:p>
    <w:p>
      <w:pPr>
        <w:overflowPunct w:val="0"/>
        <w:spacing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（一）运行管理制度完备；</w:t>
      </w:r>
    </w:p>
    <w:p>
      <w:pPr>
        <w:overflowPunct w:val="0"/>
        <w:spacing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（二）屋顶、外墙、外门窗等建筑围护结构完好，遮阳等设施设备运行正常；</w:t>
      </w:r>
    </w:p>
    <w:p>
      <w:pPr>
        <w:overflowPunct w:val="0"/>
        <w:spacing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（三）通风、空调、照明、水、电气、计量等设备系统运行正常；</w:t>
      </w:r>
    </w:p>
    <w:p>
      <w:pPr>
        <w:overflowPunct w:val="0"/>
        <w:spacing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（四）节能、节水指标符合国家、广东省和本市的规定；</w:t>
      </w:r>
    </w:p>
    <w:p>
      <w:pPr>
        <w:overflowPunct w:val="0"/>
        <w:spacing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（五）室内的温湿度、噪声、空气质量等环境指标达标；</w:t>
      </w:r>
    </w:p>
    <w:p>
      <w:pPr>
        <w:overflowPunct w:val="0"/>
        <w:spacing w:line="540" w:lineRule="exact"/>
        <w:ind w:firstLine="640" w:firstLineChars="200"/>
        <w:rPr>
          <w:rFonts w:eastAsia="仿宋_GB2312"/>
          <w:color w:val="000000" w:themeColor="text1"/>
          <w:sz w:val="32"/>
          <w:szCs w:val="32"/>
        </w:rPr>
      </w:pPr>
      <w:r>
        <w:rPr>
          <w:rFonts w:hint="eastAsia" w:eastAsia="仿宋_GB2312"/>
          <w:color w:val="000000" w:themeColor="text1"/>
          <w:sz w:val="32"/>
          <w:szCs w:val="32"/>
        </w:rPr>
        <w:t>（六）废气、污水、固体废弃物、辐射及其他有害物质排放和处置符合国家、广东省和本市的规定。</w:t>
      </w:r>
    </w:p>
    <w:p>
      <w:pPr>
        <w:overflowPunct w:val="0"/>
        <w:spacing w:line="540" w:lineRule="exact"/>
        <w:ind w:firstLine="640"/>
        <w:rPr>
          <w:rFonts w:eastAsia="仿宋_GB2312"/>
          <w:color w:val="000000" w:themeColor="text1"/>
          <w:sz w:val="32"/>
          <w:szCs w:val="32"/>
        </w:rPr>
      </w:pPr>
      <w:r>
        <w:rPr>
          <w:rStyle w:val="20"/>
          <w:rFonts w:hint="eastAsia" w:ascii="黑体" w:hAnsi="黑体" w:eastAsia="黑体" w:cs="黑体"/>
          <w:b w:val="0"/>
          <w:bCs/>
          <w:color w:val="000000" w:themeColor="text1"/>
          <w:sz w:val="32"/>
          <w:szCs w:val="32"/>
        </w:rPr>
        <w:t>第二十一条</w:t>
      </w:r>
      <w:r>
        <w:rPr>
          <w:rStyle w:val="20"/>
          <w:rFonts w:hint="eastAsia" w:eastAsia="黑体"/>
          <w:color w:val="000000" w:themeColor="text1"/>
          <w:sz w:val="32"/>
          <w:szCs w:val="32"/>
        </w:rPr>
        <w:t xml:space="preserve">  </w:t>
      </w:r>
      <w:r>
        <w:rPr>
          <w:rFonts w:hint="eastAsia" w:eastAsia="仿宋_GB2312"/>
          <w:color w:val="000000" w:themeColor="text1"/>
          <w:sz w:val="32"/>
          <w:szCs w:val="32"/>
        </w:rPr>
        <w:t>建筑物所有权人、使用权人或者相关专营单位应当按照本条例第二十条的要求，定期对绿色建筑相关设施设备进行调适、评估、维护和保养</w:t>
      </w:r>
      <w:r>
        <w:rPr>
          <w:rFonts w:hint="eastAsia" w:eastAsia="仿宋_GB2312"/>
          <w:color w:val="000000"/>
          <w:sz w:val="32"/>
          <w:szCs w:val="32"/>
        </w:rPr>
        <w:t>，确保</w:t>
      </w:r>
      <w:r>
        <w:rPr>
          <w:rFonts w:hint="eastAsia" w:eastAsia="仿宋_GB2312"/>
          <w:color w:val="000000" w:themeColor="text1"/>
          <w:sz w:val="32"/>
          <w:szCs w:val="32"/>
        </w:rPr>
        <w:t>节能、节水、计量等设施设备正常运行</w:t>
      </w:r>
      <w:r>
        <w:rPr>
          <w:rFonts w:hint="eastAsia" w:eastAsia="仿宋_GB2312"/>
          <w:color w:val="000000"/>
          <w:sz w:val="32"/>
          <w:szCs w:val="32"/>
        </w:rPr>
        <w:t>。</w:t>
      </w:r>
    </w:p>
    <w:p>
      <w:pPr>
        <w:overflowPunct w:val="0"/>
        <w:spacing w:line="540" w:lineRule="exact"/>
        <w:ind w:firstLine="640"/>
        <w:rPr>
          <w:rStyle w:val="20"/>
          <w:rFonts w:ascii="黑体" w:hAnsi="黑体" w:eastAsia="黑体" w:cs="黑体"/>
          <w:b w:val="0"/>
          <w:bCs/>
          <w:color w:val="000000" w:themeColor="text1"/>
          <w:sz w:val="32"/>
          <w:szCs w:val="32"/>
        </w:rPr>
      </w:pPr>
      <w:r>
        <w:rPr>
          <w:rFonts w:hint="eastAsia" w:eastAsia="仿宋_GB2312"/>
          <w:color w:val="000000" w:themeColor="text1"/>
          <w:sz w:val="32"/>
          <w:szCs w:val="32"/>
        </w:rPr>
        <w:t>绿色建筑运行可以委托物业服务企业或者专业服务单位实施。</w:t>
      </w:r>
    </w:p>
    <w:p>
      <w:pPr>
        <w:overflowPunct w:val="0"/>
        <w:spacing w:line="54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 xml:space="preserve">第二十二条  </w:t>
      </w:r>
      <w:r>
        <w:rPr>
          <w:rStyle w:val="21"/>
          <w:rFonts w:hint="default" w:ascii="仿宋_GB2312"/>
          <w:color w:val="000000" w:themeColor="text1"/>
          <w:szCs w:val="32"/>
        </w:rPr>
        <w:t>区住房建设主管部门应当加强对绿色建筑运行使用情况的监督管理，定期抽取一定比例的建筑开展绿色建筑后评估工作。对不再符合相应绿色建筑等级要求的，应当按照国家</w:t>
      </w:r>
      <w:r>
        <w:rPr>
          <w:rFonts w:hint="eastAsia" w:eastAsia="仿宋_GB2312"/>
          <w:color w:val="000000" w:themeColor="text1"/>
          <w:sz w:val="32"/>
          <w:szCs w:val="32"/>
        </w:rPr>
        <w:t>、广东省</w:t>
      </w:r>
      <w:r>
        <w:rPr>
          <w:rStyle w:val="21"/>
          <w:rFonts w:hint="default" w:ascii="仿宋_GB2312"/>
          <w:color w:val="000000" w:themeColor="text1"/>
          <w:szCs w:val="32"/>
        </w:rPr>
        <w:t>和本市有关规定进行处理并向社会公布。</w:t>
      </w:r>
    </w:p>
    <w:p>
      <w:pPr>
        <w:overflowPunct w:val="0"/>
        <w:spacing w:line="54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第二十三条</w:t>
      </w:r>
      <w:r>
        <w:rPr>
          <w:rStyle w:val="20"/>
          <w:rFonts w:hint="eastAsia" w:eastAsia="黑体"/>
          <w:color w:val="000000" w:themeColor="text1"/>
          <w:sz w:val="32"/>
          <w:szCs w:val="32"/>
        </w:rPr>
        <w:t xml:space="preserve">  </w:t>
      </w:r>
      <w:r>
        <w:rPr>
          <w:rStyle w:val="21"/>
          <w:rFonts w:hint="default" w:ascii="仿宋_GB2312"/>
          <w:color w:val="000000" w:themeColor="text1"/>
          <w:szCs w:val="32"/>
        </w:rPr>
        <w:t>市、区人民政府应当制定既有建筑的绿色化改造计划，并组织实施。</w:t>
      </w:r>
    </w:p>
    <w:p>
      <w:pPr>
        <w:overflowPunct w:val="0"/>
        <w:spacing w:line="540" w:lineRule="exact"/>
        <w:ind w:firstLine="640"/>
        <w:rPr>
          <w:rStyle w:val="21"/>
          <w:rFonts w:hint="default" w:ascii="仿宋_GB2312"/>
          <w:color w:val="000000" w:themeColor="text1"/>
          <w:szCs w:val="32"/>
        </w:rPr>
      </w:pPr>
      <w:r>
        <w:rPr>
          <w:rStyle w:val="21"/>
          <w:rFonts w:hint="default" w:ascii="仿宋_GB2312"/>
          <w:color w:val="000000" w:themeColor="text1"/>
          <w:szCs w:val="32"/>
        </w:rPr>
        <w:t>既有大型公共建筑、国家机关办公建筑和财政性资金参与投资建设的其他公共建筑经评估不符合相应绿色建筑标准的，应当优先纳入绿色化改造计划。</w:t>
      </w:r>
    </w:p>
    <w:p>
      <w:pPr>
        <w:overflowPunct w:val="0"/>
        <w:spacing w:line="540" w:lineRule="exact"/>
        <w:ind w:firstLine="640"/>
        <w:rPr>
          <w:rStyle w:val="20"/>
          <w:rFonts w:ascii="黑体" w:hAnsi="黑体" w:eastAsia="黑体" w:cs="黑体"/>
          <w:b w:val="0"/>
          <w:bCs/>
          <w:color w:val="000000" w:themeColor="text1"/>
          <w:sz w:val="32"/>
          <w:szCs w:val="32"/>
        </w:rPr>
      </w:pPr>
      <w:r>
        <w:rPr>
          <w:rFonts w:hint="eastAsia" w:ascii="LinTimes" w:hAnsi="LinTimes" w:eastAsia="仿宋_GB2312"/>
          <w:bCs/>
          <w:color w:val="000000" w:themeColor="text1"/>
          <w:sz w:val="32"/>
          <w:szCs w:val="32"/>
        </w:rPr>
        <w:t>城市更新应当同步实施绿色化改造。</w:t>
      </w:r>
    </w:p>
    <w:p>
      <w:pPr>
        <w:overflowPunct w:val="0"/>
        <w:spacing w:line="540" w:lineRule="exact"/>
        <w:ind w:firstLine="640"/>
        <w:rPr>
          <w:rFonts w:ascii="仿宋_GB2312" w:hAnsi="仿宋_GB2312" w:eastAsia="仿宋_GB2312" w:cs="仿宋_GB2312"/>
          <w:color w:val="000000" w:themeColor="text1"/>
          <w:sz w:val="32"/>
          <w:szCs w:val="32"/>
        </w:rPr>
      </w:pPr>
      <w:r>
        <w:rPr>
          <w:rStyle w:val="20"/>
          <w:rFonts w:hint="eastAsia" w:ascii="黑体" w:hAnsi="黑体" w:eastAsia="黑体" w:cs="黑体"/>
          <w:b w:val="0"/>
          <w:bCs/>
          <w:color w:val="000000" w:themeColor="text1"/>
          <w:sz w:val="32"/>
          <w:szCs w:val="32"/>
        </w:rPr>
        <w:t>第</w:t>
      </w:r>
      <w:r>
        <w:rPr>
          <w:rStyle w:val="21"/>
          <w:rFonts w:hint="default" w:ascii="黑体" w:hAnsi="黑体" w:eastAsia="黑体" w:cs="黑体"/>
          <w:bCs/>
          <w:color w:val="000000" w:themeColor="text1"/>
          <w:szCs w:val="32"/>
        </w:rPr>
        <w:t>二十四</w:t>
      </w:r>
      <w:r>
        <w:rPr>
          <w:rStyle w:val="20"/>
          <w:rFonts w:hint="eastAsia" w:ascii="黑体" w:hAnsi="黑体" w:eastAsia="黑体" w:cs="黑体"/>
          <w:b w:val="0"/>
          <w:bCs/>
          <w:color w:val="000000" w:themeColor="text1"/>
          <w:sz w:val="32"/>
          <w:szCs w:val="32"/>
        </w:rPr>
        <w:t>条</w:t>
      </w:r>
      <w:r>
        <w:rPr>
          <w:rStyle w:val="20"/>
          <w:rFonts w:hint="eastAsia" w:eastAsia="黑体"/>
          <w:color w:val="000000" w:themeColor="text1"/>
          <w:sz w:val="32"/>
          <w:szCs w:val="32"/>
        </w:rPr>
        <w:t xml:space="preserve">  </w:t>
      </w:r>
      <w:r>
        <w:rPr>
          <w:rFonts w:ascii="仿宋_GB2312" w:hAnsi="仿宋_GB2312" w:eastAsia="仿宋_GB2312" w:cs="仿宋_GB2312"/>
          <w:color w:val="000000" w:themeColor="text1"/>
          <w:sz w:val="32"/>
          <w:szCs w:val="32"/>
        </w:rPr>
        <w:t>市住房建设主管部门应当会同</w:t>
      </w:r>
      <w:r>
        <w:rPr>
          <w:rFonts w:hint="eastAsia" w:ascii="仿宋_GB2312" w:hAnsi="仿宋_GB2312" w:eastAsia="仿宋_GB2312" w:cs="仿宋_GB2312"/>
          <w:color w:val="000000" w:themeColor="text1"/>
          <w:sz w:val="32"/>
          <w:szCs w:val="32"/>
        </w:rPr>
        <w:t>市生态环境部门根据建筑功能、碳排放情况、所处地理位置等条件，综合确定并公布重点碳排放建筑名录，</w:t>
      </w:r>
      <w:r>
        <w:rPr>
          <w:rFonts w:hint="eastAsia" w:eastAsia="仿宋_GB2312"/>
          <w:sz w:val="32"/>
          <w:szCs w:val="32"/>
        </w:rPr>
        <w:t>确定不同类型建筑能耗及碳排放基准线</w:t>
      </w:r>
      <w:r>
        <w:rPr>
          <w:rFonts w:hint="eastAsia" w:ascii="仿宋_GB2312" w:hAnsi="仿宋_GB2312" w:eastAsia="仿宋_GB2312" w:cs="仿宋_GB2312"/>
          <w:color w:val="000000" w:themeColor="text1"/>
          <w:sz w:val="32"/>
          <w:szCs w:val="32"/>
        </w:rPr>
        <w:t>。</w:t>
      </w:r>
    </w:p>
    <w:p>
      <w:pPr>
        <w:overflowPunct w:val="0"/>
        <w:spacing w:line="540" w:lineRule="exact"/>
        <w:ind w:firstLine="640"/>
        <w:rPr>
          <w:rStyle w:val="18"/>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市生态环境部门应当参考重点碳排放建筑名录确定和公布建筑领域纳入碳配额管理的重点碳排放单位名单，负责碳排放权交易相关工作的组织协调与监督管理。</w:t>
      </w:r>
    </w:p>
    <w:p>
      <w:pPr>
        <w:overflowPunct w:val="0"/>
        <w:spacing w:line="540" w:lineRule="exact"/>
        <w:ind w:firstLine="640"/>
        <w:rPr>
          <w:rFonts w:eastAsia="仿宋_GB2312"/>
          <w:bCs/>
          <w:color w:val="000000" w:themeColor="text1"/>
          <w:sz w:val="32"/>
          <w:szCs w:val="32"/>
        </w:rPr>
      </w:pPr>
      <w:r>
        <w:rPr>
          <w:rStyle w:val="20"/>
          <w:rFonts w:hint="eastAsia" w:ascii="黑体" w:hAnsi="黑体" w:eastAsia="黑体" w:cs="黑体"/>
          <w:b w:val="0"/>
          <w:bCs/>
          <w:color w:val="000000" w:themeColor="text1"/>
          <w:sz w:val="32"/>
          <w:szCs w:val="32"/>
        </w:rPr>
        <w:t>第</w:t>
      </w:r>
      <w:r>
        <w:rPr>
          <w:rStyle w:val="21"/>
          <w:rFonts w:hint="default" w:ascii="黑体" w:hAnsi="黑体" w:eastAsia="黑体" w:cs="黑体"/>
          <w:bCs/>
          <w:color w:val="000000" w:themeColor="text1"/>
          <w:szCs w:val="32"/>
        </w:rPr>
        <w:t>二十五</w:t>
      </w:r>
      <w:r>
        <w:rPr>
          <w:rStyle w:val="20"/>
          <w:rFonts w:hint="eastAsia" w:ascii="黑体" w:hAnsi="黑体" w:eastAsia="黑体" w:cs="黑体"/>
          <w:b w:val="0"/>
          <w:bCs/>
          <w:color w:val="000000" w:themeColor="text1"/>
          <w:sz w:val="32"/>
          <w:szCs w:val="32"/>
        </w:rPr>
        <w:t>条</w:t>
      </w:r>
      <w:r>
        <w:rPr>
          <w:rStyle w:val="20"/>
          <w:rFonts w:eastAsia="黑体"/>
          <w:color w:val="000000" w:themeColor="text1"/>
          <w:sz w:val="32"/>
          <w:szCs w:val="32"/>
        </w:rPr>
        <w:t xml:space="preserve">  </w:t>
      </w:r>
      <w:r>
        <w:rPr>
          <w:rFonts w:hint="eastAsia" w:eastAsia="仿宋_GB2312"/>
          <w:bCs/>
          <w:color w:val="000000" w:themeColor="text1"/>
          <w:sz w:val="32"/>
          <w:szCs w:val="32"/>
        </w:rPr>
        <w:t>供电、供气、供水、供冷等单位应当将建筑能源和水资源消耗数据提供给市住房建设主管部门。</w:t>
      </w:r>
    </w:p>
    <w:p>
      <w:pPr>
        <w:overflowPunct w:val="0"/>
        <w:spacing w:line="540" w:lineRule="exact"/>
        <w:ind w:firstLine="640"/>
        <w:rPr>
          <w:rFonts w:eastAsia="仿宋_GB2312"/>
          <w:bCs/>
          <w:color w:val="000000" w:themeColor="text1"/>
          <w:sz w:val="32"/>
          <w:szCs w:val="32"/>
        </w:rPr>
      </w:pPr>
      <w:r>
        <w:rPr>
          <w:rFonts w:hint="eastAsia" w:eastAsia="仿宋_GB2312"/>
          <w:bCs/>
          <w:color w:val="000000" w:themeColor="text1"/>
          <w:sz w:val="32"/>
          <w:szCs w:val="32"/>
        </w:rPr>
        <w:t>建筑物所有权人、使用人或者物业服务企业应当如实向市、区住房建设主管部门提供建筑物能源消耗数据。</w:t>
      </w:r>
    </w:p>
    <w:p>
      <w:pPr>
        <w:pStyle w:val="2"/>
        <w:overflowPunct w:val="0"/>
        <w:spacing w:after="0" w:line="540" w:lineRule="exact"/>
        <w:ind w:firstLine="640" w:firstLineChars="200"/>
        <w:rPr>
          <w:rFonts w:eastAsia="仿宋_GB2312"/>
          <w:sz w:val="32"/>
          <w:szCs w:val="32"/>
        </w:rPr>
      </w:pPr>
      <w:r>
        <w:rPr>
          <w:rFonts w:hint="eastAsia" w:ascii="黑体" w:hAnsi="黑体" w:eastAsia="黑体" w:cs="黑体"/>
          <w:sz w:val="32"/>
          <w:szCs w:val="32"/>
        </w:rPr>
        <w:t>第二十六条</w:t>
      </w:r>
      <w:r>
        <w:rPr>
          <w:rFonts w:eastAsia="仿宋_GB2312"/>
          <w:sz w:val="32"/>
          <w:szCs w:val="32"/>
        </w:rPr>
        <w:t xml:space="preserve"> </w:t>
      </w:r>
      <w:r>
        <w:rPr>
          <w:rFonts w:hint="eastAsia" w:eastAsia="仿宋_GB2312"/>
          <w:sz w:val="32"/>
          <w:szCs w:val="32"/>
        </w:rPr>
        <w:t xml:space="preserve"> </w:t>
      </w:r>
      <w:r>
        <w:rPr>
          <w:rFonts w:eastAsia="仿宋_GB2312"/>
          <w:sz w:val="32"/>
          <w:szCs w:val="32"/>
        </w:rPr>
        <w:t>市住房建设主管部门应当会同</w:t>
      </w:r>
      <w:r>
        <w:rPr>
          <w:rFonts w:hint="eastAsia" w:eastAsia="仿宋_GB2312"/>
          <w:sz w:val="32"/>
          <w:szCs w:val="32"/>
        </w:rPr>
        <w:t>相关</w:t>
      </w:r>
      <w:r>
        <w:rPr>
          <w:rFonts w:eastAsia="仿宋_GB2312"/>
          <w:sz w:val="32"/>
          <w:szCs w:val="32"/>
        </w:rPr>
        <w:t>部门根据建筑物的类别、使用功能和规模等，制定民用建筑用电定额标准。</w:t>
      </w:r>
      <w:r>
        <w:rPr>
          <w:rFonts w:hint="eastAsia" w:eastAsia="仿宋_GB2312"/>
          <w:sz w:val="32"/>
          <w:szCs w:val="32"/>
        </w:rPr>
        <w:t>对</w:t>
      </w:r>
      <w:r>
        <w:rPr>
          <w:rFonts w:eastAsia="仿宋_GB2312"/>
          <w:sz w:val="32"/>
          <w:szCs w:val="32"/>
        </w:rPr>
        <w:t>超</w:t>
      </w:r>
      <w:r>
        <w:rPr>
          <w:rFonts w:hint="eastAsia" w:eastAsia="仿宋_GB2312"/>
          <w:sz w:val="32"/>
          <w:szCs w:val="32"/>
        </w:rPr>
        <w:t>限</w:t>
      </w:r>
      <w:r>
        <w:rPr>
          <w:rFonts w:eastAsia="仿宋_GB2312"/>
          <w:sz w:val="32"/>
          <w:szCs w:val="32"/>
        </w:rPr>
        <w:t>额</w:t>
      </w:r>
      <w:r>
        <w:rPr>
          <w:rFonts w:hint="eastAsia" w:eastAsia="仿宋_GB2312"/>
          <w:sz w:val="32"/>
          <w:szCs w:val="32"/>
        </w:rPr>
        <w:t>用电</w:t>
      </w:r>
      <w:r>
        <w:rPr>
          <w:rFonts w:eastAsia="仿宋_GB2312"/>
          <w:sz w:val="32"/>
          <w:szCs w:val="32"/>
        </w:rPr>
        <w:t>的，</w:t>
      </w:r>
      <w:r>
        <w:rPr>
          <w:rFonts w:hint="eastAsia" w:eastAsia="仿宋_GB2312"/>
          <w:sz w:val="32"/>
          <w:szCs w:val="32"/>
        </w:rPr>
        <w:t>实行阶梯价格</w:t>
      </w:r>
      <w:r>
        <w:rPr>
          <w:rFonts w:eastAsia="仿宋_GB2312"/>
          <w:sz w:val="32"/>
          <w:szCs w:val="32"/>
        </w:rPr>
        <w:t>。</w:t>
      </w:r>
    </w:p>
    <w:p>
      <w:pPr>
        <w:overflowPunct w:val="0"/>
        <w:spacing w:line="560" w:lineRule="exact"/>
        <w:ind w:firstLine="640"/>
        <w:rPr>
          <w:rFonts w:eastAsia="仿宋_GB2312"/>
          <w:color w:val="000000" w:themeColor="text1"/>
          <w:sz w:val="32"/>
          <w:szCs w:val="32"/>
        </w:rPr>
      </w:pPr>
      <w:r>
        <w:rPr>
          <w:rStyle w:val="20"/>
          <w:rFonts w:hint="eastAsia" w:ascii="黑体" w:hAnsi="黑体" w:eastAsia="黑体" w:cs="黑体"/>
          <w:b w:val="0"/>
          <w:bCs/>
          <w:color w:val="000000" w:themeColor="text1"/>
          <w:sz w:val="32"/>
          <w:szCs w:val="32"/>
        </w:rPr>
        <w:t xml:space="preserve">第二十七条  </w:t>
      </w:r>
      <w:r>
        <w:rPr>
          <w:rFonts w:eastAsia="仿宋_GB2312"/>
          <w:color w:val="000000" w:themeColor="text1"/>
          <w:sz w:val="32"/>
          <w:szCs w:val="32"/>
        </w:rPr>
        <w:t>大型公共建筑</w:t>
      </w:r>
      <w:r>
        <w:rPr>
          <w:rFonts w:hint="eastAsia" w:eastAsia="仿宋_GB2312"/>
          <w:color w:val="000000" w:themeColor="text1"/>
          <w:sz w:val="32"/>
          <w:szCs w:val="32"/>
        </w:rPr>
        <w:t>、</w:t>
      </w:r>
      <w:r>
        <w:rPr>
          <w:rStyle w:val="21"/>
          <w:rFonts w:hint="default" w:ascii="仿宋_GB2312"/>
          <w:color w:val="000000" w:themeColor="text1"/>
          <w:szCs w:val="32"/>
        </w:rPr>
        <w:t>国家机关办公建筑和财政性资金参与投资建设的其他公共建筑</w:t>
      </w:r>
      <w:r>
        <w:rPr>
          <w:rFonts w:eastAsia="仿宋_GB2312"/>
          <w:color w:val="000000" w:themeColor="text1"/>
          <w:sz w:val="32"/>
          <w:szCs w:val="32"/>
        </w:rPr>
        <w:t>应当安装用电等能耗分项计量装置和建筑能耗实时监测设备</w:t>
      </w:r>
      <w:r>
        <w:rPr>
          <w:rFonts w:hint="eastAsia" w:eastAsia="仿宋_GB2312"/>
          <w:color w:val="000000" w:themeColor="text1"/>
          <w:sz w:val="32"/>
          <w:szCs w:val="32"/>
        </w:rPr>
        <w:t>。</w:t>
      </w:r>
    </w:p>
    <w:p>
      <w:pPr>
        <w:overflowPunct w:val="0"/>
        <w:spacing w:line="560" w:lineRule="exact"/>
        <w:ind w:firstLine="640"/>
        <w:rPr>
          <w:rFonts w:eastAsia="仿宋_GB2312"/>
          <w:color w:val="000000" w:themeColor="text1"/>
          <w:sz w:val="32"/>
          <w:szCs w:val="32"/>
        </w:rPr>
      </w:pPr>
      <w:r>
        <w:rPr>
          <w:rFonts w:hint="eastAsia" w:eastAsia="仿宋_GB2312"/>
          <w:color w:val="000000" w:themeColor="text1"/>
          <w:sz w:val="32"/>
          <w:szCs w:val="32"/>
        </w:rPr>
        <w:t>建筑物所有权人、使用权人或者物业服务企业应当</w:t>
      </w:r>
      <w:r>
        <w:rPr>
          <w:rFonts w:eastAsia="仿宋_GB2312"/>
          <w:color w:val="000000" w:themeColor="text1"/>
          <w:sz w:val="32"/>
          <w:szCs w:val="32"/>
        </w:rPr>
        <w:t>将</w:t>
      </w:r>
      <w:r>
        <w:rPr>
          <w:rFonts w:hint="eastAsia" w:eastAsia="仿宋_GB2312"/>
          <w:color w:val="000000" w:themeColor="text1"/>
          <w:sz w:val="32"/>
          <w:szCs w:val="32"/>
        </w:rPr>
        <w:t>准确的</w:t>
      </w:r>
      <w:r>
        <w:rPr>
          <w:rFonts w:eastAsia="仿宋_GB2312"/>
          <w:color w:val="000000" w:themeColor="text1"/>
          <w:sz w:val="32"/>
          <w:szCs w:val="32"/>
        </w:rPr>
        <w:t>监测数据实时传输至</w:t>
      </w:r>
      <w:r>
        <w:rPr>
          <w:rFonts w:hint="eastAsia" w:ascii="仿宋_GB2312" w:hAnsi="微软雅黑" w:eastAsia="仿宋_GB2312"/>
          <w:color w:val="000000" w:themeColor="text1"/>
          <w:sz w:val="32"/>
          <w:szCs w:val="32"/>
        </w:rPr>
        <w:t>市住房建设主管部门</w:t>
      </w:r>
      <w:r>
        <w:rPr>
          <w:rFonts w:eastAsia="仿宋_GB2312"/>
          <w:color w:val="000000" w:themeColor="text1"/>
          <w:sz w:val="32"/>
          <w:szCs w:val="32"/>
        </w:rPr>
        <w:t>，并保证计量、传输系统的正常运行。</w:t>
      </w:r>
    </w:p>
    <w:p>
      <w:pPr>
        <w:overflowPunct w:val="0"/>
        <w:spacing w:line="560" w:lineRule="exact"/>
        <w:ind w:firstLine="640"/>
        <w:rPr>
          <w:rStyle w:val="21"/>
          <w:rFonts w:hint="default" w:ascii="仿宋_GB2312"/>
          <w:color w:val="000000" w:themeColor="text1"/>
          <w:szCs w:val="32"/>
        </w:rPr>
      </w:pPr>
      <w:r>
        <w:rPr>
          <w:rStyle w:val="21"/>
          <w:rFonts w:hint="default" w:ascii="黑体" w:hAnsi="黑体" w:eastAsia="黑体" w:cs="黑体"/>
          <w:bCs/>
          <w:color w:val="000000" w:themeColor="text1"/>
          <w:szCs w:val="32"/>
        </w:rPr>
        <w:t>第二十八条</w:t>
      </w:r>
      <w:r>
        <w:rPr>
          <w:rFonts w:hint="eastAsia" w:ascii="仿宋_GB2312" w:hAnsi="仿宋_GB2312" w:eastAsia="仿宋_GB2312" w:cs="仿宋_GB2312"/>
          <w:color w:val="000000" w:themeColor="text1"/>
          <w:sz w:val="32"/>
          <w:szCs w:val="32"/>
        </w:rPr>
        <w:t xml:space="preserve">  </w:t>
      </w:r>
      <w:r>
        <w:rPr>
          <w:rStyle w:val="21"/>
          <w:rFonts w:hint="default" w:ascii="仿宋_GB2312"/>
          <w:color w:val="000000" w:themeColor="text1"/>
          <w:szCs w:val="32"/>
        </w:rPr>
        <w:t xml:space="preserve">房屋拆除工程实行房屋拆除、建筑废弃物综合利用及清运一体化管理。 </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zCs w:val="32"/>
        </w:rPr>
        <w:t>鼓励现场具备综合利用条件的房屋拆除工程开展现场综合利用。现场无法综合利用的，应当运至建筑废弃物综合利用厂进行综合利用。</w:t>
      </w:r>
    </w:p>
    <w:p>
      <w:pPr>
        <w:overflowPunct w:val="0"/>
        <w:spacing w:line="56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第二十九条</w:t>
      </w:r>
      <w:r>
        <w:rPr>
          <w:rStyle w:val="20"/>
          <w:rFonts w:hint="eastAsia" w:eastAsia="黑体"/>
          <w:color w:val="000000" w:themeColor="text1"/>
          <w:sz w:val="32"/>
          <w:szCs w:val="32"/>
        </w:rPr>
        <w:t xml:space="preserve">  </w:t>
      </w:r>
      <w:r>
        <w:rPr>
          <w:rStyle w:val="21"/>
          <w:rFonts w:hint="default" w:ascii="仿宋_GB2312"/>
          <w:color w:val="000000" w:themeColor="text1"/>
          <w:szCs w:val="32"/>
        </w:rPr>
        <w:t>鼓励建筑节能服务机构为建筑运行和既有建筑绿色化改造提供合同能源管理服务，节约的有关费用按照规定或者合同约定用于支付管理服务费用。</w:t>
      </w:r>
    </w:p>
    <w:p>
      <w:pPr>
        <w:pStyle w:val="2"/>
        <w:overflowPunct w:val="0"/>
        <w:spacing w:line="560" w:lineRule="exact"/>
        <w:rPr>
          <w:sz w:val="32"/>
          <w:szCs w:val="32"/>
        </w:rPr>
      </w:pPr>
    </w:p>
    <w:p>
      <w:pPr>
        <w:pStyle w:val="5"/>
        <w:overflowPunct w:val="0"/>
        <w:spacing w:before="0" w:beforeAutospacing="0" w:after="0" w:afterAutospacing="0" w:line="560" w:lineRule="exact"/>
        <w:ind w:firstLine="0"/>
        <w:jc w:val="center"/>
        <w:rPr>
          <w:rFonts w:cs="黑体"/>
          <w:bCs/>
          <w:color w:val="000000" w:themeColor="text1"/>
          <w:sz w:val="32"/>
          <w:szCs w:val="32"/>
        </w:rPr>
      </w:pPr>
      <w:r>
        <w:rPr>
          <w:rFonts w:hint="eastAsia" w:cs="黑体"/>
          <w:bCs/>
          <w:color w:val="000000" w:themeColor="text1"/>
          <w:sz w:val="32"/>
          <w:szCs w:val="32"/>
        </w:rPr>
        <w:t>第四章  性能和评价</w:t>
      </w:r>
    </w:p>
    <w:p>
      <w:pPr>
        <w:pStyle w:val="25"/>
        <w:overflowPunct w:val="0"/>
        <w:spacing w:line="560" w:lineRule="exact"/>
        <w:ind w:firstLine="0" w:firstLineChars="0"/>
        <w:jc w:val="left"/>
        <w:rPr>
          <w:rStyle w:val="21"/>
          <w:rFonts w:hint="default" w:ascii="仿宋_GB2312" w:hAnsi="仿宋_GB2312" w:cs="仿宋_GB2312"/>
          <w:color w:val="000000" w:themeColor="text1"/>
          <w:szCs w:val="32"/>
        </w:rPr>
      </w:pPr>
    </w:p>
    <w:p>
      <w:pPr>
        <w:pStyle w:val="25"/>
        <w:overflowPunct w:val="0"/>
        <w:spacing w:line="560" w:lineRule="exact"/>
        <w:ind w:firstLine="640"/>
        <w:rPr>
          <w:rStyle w:val="20"/>
          <w:rFonts w:ascii="仿宋_GB2312" w:hAnsi="仿宋_GB2312" w:eastAsia="仿宋_GB2312" w:cs="仿宋_GB2312"/>
          <w:b w:val="0"/>
          <w:bCs/>
          <w:color w:val="000000" w:themeColor="text1"/>
          <w:sz w:val="32"/>
          <w:szCs w:val="32"/>
        </w:rPr>
      </w:pPr>
      <w:r>
        <w:rPr>
          <w:rStyle w:val="20"/>
          <w:rFonts w:hint="eastAsia" w:ascii="黑体" w:hAnsi="黑体" w:eastAsia="黑体" w:cs="黑体"/>
          <w:b w:val="0"/>
          <w:bCs/>
          <w:color w:val="000000" w:themeColor="text1"/>
          <w:sz w:val="32"/>
          <w:szCs w:val="32"/>
        </w:rPr>
        <w:t>第</w:t>
      </w:r>
      <w:r>
        <w:rPr>
          <w:rStyle w:val="21"/>
          <w:rFonts w:hint="default" w:ascii="黑体" w:hAnsi="黑体" w:eastAsia="黑体" w:cs="黑体"/>
          <w:bCs/>
          <w:color w:val="000000" w:themeColor="text1"/>
          <w:szCs w:val="32"/>
        </w:rPr>
        <w:t>三十</w:t>
      </w:r>
      <w:r>
        <w:rPr>
          <w:rStyle w:val="20"/>
          <w:rFonts w:hint="eastAsia" w:ascii="黑体" w:hAnsi="黑体" w:eastAsia="黑体" w:cs="黑体"/>
          <w:b w:val="0"/>
          <w:bCs/>
          <w:color w:val="000000" w:themeColor="text1"/>
          <w:sz w:val="32"/>
          <w:szCs w:val="32"/>
        </w:rPr>
        <w:t xml:space="preserve">条  </w:t>
      </w:r>
      <w:r>
        <w:rPr>
          <w:rStyle w:val="20"/>
          <w:rFonts w:hint="eastAsia" w:ascii="仿宋_GB2312" w:hAnsi="仿宋_GB2312" w:eastAsia="仿宋_GB2312" w:cs="仿宋_GB2312"/>
          <w:b w:val="0"/>
          <w:bCs/>
          <w:color w:val="000000" w:themeColor="text1"/>
          <w:sz w:val="32"/>
          <w:szCs w:val="32"/>
        </w:rPr>
        <w:t>绿色建筑发展应当提高和创新因地制宜、绿色低碳、循环利用的绿色建筑技术，提升安全耐久、健康舒适、生活便利、资源节约、环境宜居等方面的性能。</w:t>
      </w:r>
    </w:p>
    <w:p>
      <w:pPr>
        <w:pStyle w:val="25"/>
        <w:overflowPunct w:val="0"/>
        <w:spacing w:line="560" w:lineRule="exact"/>
        <w:ind w:firstLine="640"/>
        <w:rPr>
          <w:rStyle w:val="20"/>
          <w:rFonts w:ascii="仿宋_GB2312" w:hAnsi="仿宋_GB2312" w:eastAsia="仿宋_GB2312" w:cs="仿宋_GB2312"/>
          <w:b w:val="0"/>
          <w:bCs/>
          <w:color w:val="000000" w:themeColor="text1"/>
          <w:sz w:val="32"/>
          <w:szCs w:val="32"/>
        </w:rPr>
      </w:pPr>
      <w:r>
        <w:rPr>
          <w:rStyle w:val="20"/>
          <w:rFonts w:hint="eastAsia" w:ascii="黑体" w:hAnsi="黑体" w:eastAsia="黑体" w:cs="黑体"/>
          <w:b w:val="0"/>
          <w:bCs/>
          <w:color w:val="000000" w:themeColor="text1"/>
          <w:sz w:val="32"/>
          <w:szCs w:val="32"/>
        </w:rPr>
        <w:t xml:space="preserve">第三十一条  </w:t>
      </w:r>
      <w:r>
        <w:rPr>
          <w:rStyle w:val="20"/>
          <w:rFonts w:hint="eastAsia" w:ascii="仿宋_GB2312" w:hAnsi="仿宋_GB2312" w:eastAsia="仿宋_GB2312" w:cs="仿宋_GB2312"/>
          <w:b w:val="0"/>
          <w:bCs/>
          <w:color w:val="000000" w:themeColor="text1"/>
          <w:sz w:val="32"/>
          <w:szCs w:val="32"/>
        </w:rPr>
        <w:t>市住房建设主管部门应当制定和完善建筑绿色性能保障的相关政策，明确建筑绿色性能的具体要求，并纳入工程保修范围。</w:t>
      </w:r>
    </w:p>
    <w:p>
      <w:pPr>
        <w:overflowPunct w:val="0"/>
        <w:spacing w:line="560" w:lineRule="exact"/>
        <w:ind w:firstLine="640"/>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 xml:space="preserve">第三十二条  </w:t>
      </w:r>
      <w:r>
        <w:rPr>
          <w:rFonts w:hint="eastAsia" w:ascii="仿宋_GB2312" w:hAnsi="仿宋_GB2312" w:eastAsia="仿宋_GB2312" w:cs="仿宋_GB2312"/>
          <w:color w:val="000000" w:themeColor="text1"/>
          <w:sz w:val="32"/>
          <w:szCs w:val="32"/>
        </w:rPr>
        <w:t>新建公共建筑能耗指标应当不高于国家和本市现行建筑能耗标准约束值和引导值的平均值。</w:t>
      </w:r>
    </w:p>
    <w:p>
      <w:pPr>
        <w:pStyle w:val="26"/>
        <w:overflowPunct w:val="0"/>
        <w:spacing w:line="560" w:lineRule="exact"/>
        <w:ind w:firstLine="640"/>
        <w:rPr>
          <w:rStyle w:val="21"/>
          <w:rFonts w:hint="default" w:ascii="仿宋_GB2312"/>
          <w:color w:val="000000" w:themeColor="text1"/>
          <w:szCs w:val="32"/>
        </w:rPr>
      </w:pPr>
      <w:r>
        <w:rPr>
          <w:rFonts w:hint="eastAsia" w:ascii="仿宋_GB2312" w:hAnsi="仿宋_GB2312" w:eastAsia="仿宋_GB2312" w:cs="仿宋_GB2312"/>
          <w:color w:val="000000" w:themeColor="text1"/>
          <w:sz w:val="32"/>
          <w:szCs w:val="32"/>
        </w:rPr>
        <w:t>既有大型公共建筑、国家机关办公建筑和财政性资金参与投资建设的其他公共建筑运行能耗指标应当不高于国家和本市现行建筑能耗标准的约束值。</w:t>
      </w:r>
      <w:r>
        <w:rPr>
          <w:rStyle w:val="21"/>
          <w:rFonts w:hint="default" w:ascii="仿宋_GB2312"/>
          <w:color w:val="000000" w:themeColor="text1"/>
          <w:szCs w:val="32"/>
        </w:rPr>
        <w:t>用能指标超过</w:t>
      </w:r>
      <w:r>
        <w:rPr>
          <w:rFonts w:hint="eastAsia" w:ascii="仿宋_GB2312" w:hAnsi="仿宋_GB2312" w:eastAsia="仿宋_GB2312" w:cs="仿宋_GB2312"/>
          <w:color w:val="000000" w:themeColor="text1"/>
          <w:sz w:val="32"/>
          <w:szCs w:val="32"/>
        </w:rPr>
        <w:t>建筑能耗</w:t>
      </w:r>
      <w:r>
        <w:rPr>
          <w:rFonts w:hint="eastAsia" w:ascii="仿宋_GB2312" w:hAnsi="仿宋_GB2312" w:eastAsia="仿宋_GB2312" w:cs="仿宋_GB2312"/>
          <w:color w:val="000000" w:themeColor="text1"/>
          <w:spacing w:val="-6"/>
          <w:sz w:val="32"/>
          <w:szCs w:val="32"/>
        </w:rPr>
        <w:t>标准约束值的</w:t>
      </w:r>
      <w:r>
        <w:rPr>
          <w:rStyle w:val="21"/>
          <w:rFonts w:hint="default" w:ascii="仿宋_GB2312"/>
          <w:color w:val="000000" w:themeColor="text1"/>
          <w:spacing w:val="-6"/>
          <w:szCs w:val="32"/>
        </w:rPr>
        <w:t>，建筑物所有权人或者使用权人应当开展能源审计，采取措施降低能耗；连续两年建筑用能指标超过</w:t>
      </w:r>
      <w:r>
        <w:rPr>
          <w:rFonts w:hint="eastAsia" w:ascii="仿宋_GB2312" w:hAnsi="仿宋_GB2312" w:eastAsia="仿宋_GB2312" w:cs="仿宋_GB2312"/>
          <w:color w:val="000000" w:themeColor="text1"/>
          <w:spacing w:val="-6"/>
          <w:sz w:val="32"/>
          <w:szCs w:val="32"/>
        </w:rPr>
        <w:t>建筑能耗标准约束值</w:t>
      </w:r>
      <w:r>
        <w:rPr>
          <w:rStyle w:val="21"/>
          <w:rFonts w:hint="default" w:ascii="仿宋_GB2312"/>
          <w:color w:val="000000" w:themeColor="text1"/>
          <w:spacing w:val="-6"/>
          <w:szCs w:val="32"/>
        </w:rPr>
        <w:t>百分之五十以上的，应当实施节能改造。</w:t>
      </w:r>
    </w:p>
    <w:p>
      <w:pPr>
        <w:pStyle w:val="26"/>
        <w:overflowPunct w:val="0"/>
        <w:spacing w:line="560" w:lineRule="exact"/>
        <w:ind w:firstLine="64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市住房建设主管部门可以根据经济发展和技术进步制定严于国家标准的地方建筑能耗标准。</w:t>
      </w:r>
    </w:p>
    <w:p>
      <w:pPr>
        <w:pStyle w:val="25"/>
        <w:overflowPunct w:val="0"/>
        <w:spacing w:line="560" w:lineRule="exact"/>
        <w:ind w:firstLine="640"/>
        <w:rPr>
          <w:rFonts w:ascii="仿宋_GB2312" w:hAnsi="仿宋_GB2312" w:eastAsia="仿宋_GB2312" w:cs="仿宋_GB2312"/>
          <w:color w:val="000000" w:themeColor="text1"/>
          <w:sz w:val="32"/>
          <w:szCs w:val="32"/>
        </w:rPr>
      </w:pPr>
      <w:r>
        <w:rPr>
          <w:rStyle w:val="21"/>
          <w:rFonts w:hint="default" w:ascii="黑体" w:hAnsi="黑体" w:eastAsia="黑体" w:cs="黑体"/>
          <w:bCs/>
          <w:color w:val="000000" w:themeColor="text1"/>
          <w:szCs w:val="32"/>
        </w:rPr>
        <w:t>第三十三条</w:t>
      </w:r>
      <w:r>
        <w:rPr>
          <w:rFonts w:hint="eastAsia" w:ascii="仿宋_GB2312" w:hAnsi="仿宋_GB2312" w:eastAsia="仿宋_GB2312" w:cs="仿宋_GB2312"/>
          <w:color w:val="000000" w:themeColor="text1"/>
          <w:sz w:val="32"/>
          <w:szCs w:val="32"/>
        </w:rPr>
        <w:t xml:space="preserve">  既有民用建筑平均日生活用水量应当不高于现行国家标准节水用水定额的平均值。</w:t>
      </w:r>
    </w:p>
    <w:p>
      <w:pPr>
        <w:pStyle w:val="25"/>
        <w:overflowPunct w:val="0"/>
        <w:spacing w:line="560" w:lineRule="exact"/>
        <w:ind w:firstLine="64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新建宿舍和公共建筑的平均日生活用水量应当不高于现行国家标准节水用水定额的下限值。</w:t>
      </w:r>
    </w:p>
    <w:p>
      <w:pPr>
        <w:pStyle w:val="25"/>
        <w:overflowPunct w:val="0"/>
        <w:spacing w:line="560" w:lineRule="exact"/>
        <w:ind w:firstLine="640"/>
        <w:rPr>
          <w:rFonts w:ascii="仿宋_GB2312" w:hAnsi="仿宋_GB2312" w:eastAsia="仿宋_GB2312" w:cs="仿宋_GB2312"/>
          <w:color w:val="000000" w:themeColor="text1"/>
          <w:sz w:val="32"/>
          <w:szCs w:val="32"/>
        </w:rPr>
      </w:pPr>
      <w:r>
        <w:rPr>
          <w:rStyle w:val="21"/>
          <w:rFonts w:hint="default" w:ascii="黑体" w:hAnsi="黑体" w:eastAsia="黑体" w:cs="黑体"/>
          <w:bCs/>
          <w:color w:val="000000" w:themeColor="text1"/>
          <w:szCs w:val="32"/>
        </w:rPr>
        <w:t>第三十四条</w:t>
      </w:r>
      <w:r>
        <w:rPr>
          <w:rFonts w:hint="eastAsia" w:ascii="仿宋_GB2312" w:hAnsi="仿宋_GB2312" w:eastAsia="仿宋_GB2312" w:cs="仿宋_GB2312"/>
          <w:color w:val="000000" w:themeColor="text1"/>
          <w:sz w:val="32"/>
          <w:szCs w:val="32"/>
        </w:rPr>
        <w:t xml:space="preserve">  新建民用建筑室内主要空气污染物浓度应当不高于国家室内空气质量标准规定限值的百分之八十。</w:t>
      </w:r>
    </w:p>
    <w:p>
      <w:pPr>
        <w:pStyle w:val="25"/>
        <w:overflowPunct w:val="0"/>
        <w:spacing w:line="560" w:lineRule="exact"/>
        <w:ind w:firstLine="640"/>
        <w:rPr>
          <w:rFonts w:ascii="仿宋_GB2312" w:hAnsi="仿宋_GB2312" w:eastAsia="仿宋_GB2312" w:cs="仿宋_GB2312"/>
          <w:color w:val="000000" w:themeColor="text1"/>
          <w:sz w:val="32"/>
          <w:szCs w:val="32"/>
        </w:rPr>
      </w:pPr>
      <w:r>
        <w:rPr>
          <w:rStyle w:val="21"/>
          <w:rFonts w:hint="default" w:ascii="黑体" w:hAnsi="黑体" w:eastAsia="黑体" w:cs="黑体"/>
          <w:bCs/>
          <w:color w:val="000000" w:themeColor="text1"/>
          <w:szCs w:val="32"/>
        </w:rPr>
        <w:t xml:space="preserve">第三十五条  </w:t>
      </w:r>
      <w:r>
        <w:rPr>
          <w:rFonts w:hint="eastAsia" w:ascii="仿宋_GB2312" w:hAnsi="仿宋_GB2312" w:eastAsia="仿宋_GB2312" w:cs="仿宋_GB2312"/>
          <w:color w:val="000000" w:themeColor="text1"/>
          <w:sz w:val="32"/>
          <w:szCs w:val="32"/>
        </w:rPr>
        <w:t>新建住宅建筑室外与卧室之间、分户墙（楼板）两侧卧室之间的空气声隔声性能以及卧室楼板的撞击声隔声性能应当不低于现行国家隔声性能标准低限标准限值和高要求标准值的平均值。</w:t>
      </w:r>
    </w:p>
    <w:p>
      <w:pPr>
        <w:pStyle w:val="26"/>
        <w:overflowPunct w:val="0"/>
        <w:spacing w:line="560" w:lineRule="exact"/>
        <w:ind w:firstLine="640"/>
        <w:rPr>
          <w:rFonts w:ascii="仿宋_GB2312" w:hAnsi="仿宋_GB2312" w:eastAsia="仿宋_GB2312" w:cs="仿宋_GB2312"/>
          <w:color w:val="000000" w:themeColor="text1"/>
          <w:sz w:val="32"/>
          <w:szCs w:val="32"/>
        </w:rPr>
      </w:pPr>
      <w:r>
        <w:rPr>
          <w:rFonts w:hint="eastAsia" w:ascii="黑体" w:hAnsi="黑体" w:eastAsia="黑体" w:cs="黑体"/>
          <w:color w:val="000000" w:themeColor="text1"/>
          <w:sz w:val="32"/>
          <w:szCs w:val="32"/>
        </w:rPr>
        <w:t>第三十六条</w:t>
      </w:r>
      <w:r>
        <w:rPr>
          <w:rFonts w:hint="eastAsia" w:ascii="仿宋_GB2312" w:hAnsi="仿宋_GB2312" w:eastAsia="仿宋_GB2312" w:cs="仿宋_GB2312"/>
          <w:color w:val="000000" w:themeColor="text1"/>
          <w:sz w:val="32"/>
          <w:szCs w:val="32"/>
        </w:rPr>
        <w:t xml:space="preserve">  实行绿色建筑标识评价制度，不同等级的绿色建筑标识按照国家、广东省和本市有关规定进行评价。获得绿色建筑标识的建设单位、运营单位或者建筑物所有权人，应当强化绿色建筑运行管理，加强运行指标与申报绿色建筑星级指标比对，每年将年度运行主要指标上报绿色建筑标识管理信息系统。</w:t>
      </w:r>
    </w:p>
    <w:p>
      <w:pPr>
        <w:pStyle w:val="26"/>
        <w:overflowPunct w:val="0"/>
        <w:spacing w:line="560" w:lineRule="exact"/>
        <w:ind w:firstLine="640"/>
        <w:rPr>
          <w:rFonts w:eastAsia="仿宋_GB2312"/>
          <w:color w:val="000000" w:themeColor="text1"/>
          <w:sz w:val="32"/>
          <w:szCs w:val="32"/>
        </w:rPr>
      </w:pPr>
      <w:r>
        <w:rPr>
          <w:rFonts w:hint="eastAsia" w:eastAsia="仿宋_GB2312"/>
          <w:color w:val="000000" w:themeColor="text1"/>
          <w:sz w:val="32"/>
          <w:szCs w:val="32"/>
        </w:rPr>
        <w:t>市住房建设主管部门根据绿色建筑发展需求，确定应当取得绿色建筑标识的范围和要求，具体办法由市住房建设主管部门另行规定。</w:t>
      </w:r>
    </w:p>
    <w:p>
      <w:pPr>
        <w:pStyle w:val="26"/>
        <w:overflowPunct w:val="0"/>
        <w:spacing w:line="560" w:lineRule="exact"/>
        <w:ind w:firstLine="640"/>
        <w:rPr>
          <w:rFonts w:eastAsia="仿宋_GB2312"/>
          <w:color w:val="000000" w:themeColor="text1"/>
          <w:sz w:val="32"/>
          <w:szCs w:val="32"/>
        </w:rPr>
      </w:pPr>
      <w:r>
        <w:rPr>
          <w:rFonts w:hint="eastAsia" w:eastAsia="仿宋_GB2312"/>
          <w:color w:val="000000" w:themeColor="text1"/>
          <w:sz w:val="32"/>
          <w:szCs w:val="32"/>
        </w:rPr>
        <w:t>鼓励绿色建筑所有权人在显著位置明示绿色建筑标识。</w:t>
      </w:r>
    </w:p>
    <w:p>
      <w:pPr>
        <w:pStyle w:val="25"/>
        <w:overflowPunct w:val="0"/>
        <w:spacing w:line="560" w:lineRule="exact"/>
        <w:ind w:firstLine="640"/>
        <w:rPr>
          <w:rFonts w:ascii="仿宋_GB2312" w:hAnsi="仿宋_GB2312" w:eastAsia="仿宋_GB2312" w:cs="仿宋_GB2312"/>
          <w:color w:val="000000" w:themeColor="text1"/>
          <w:sz w:val="32"/>
          <w:szCs w:val="32"/>
        </w:rPr>
      </w:pPr>
      <w:r>
        <w:rPr>
          <w:rStyle w:val="21"/>
          <w:rFonts w:hint="default" w:ascii="黑体" w:hAnsi="黑体" w:eastAsia="黑体" w:cs="黑体"/>
          <w:bCs/>
          <w:color w:val="000000" w:themeColor="text1"/>
          <w:szCs w:val="32"/>
        </w:rPr>
        <w:t xml:space="preserve">第三十七条 </w:t>
      </w:r>
      <w:r>
        <w:rPr>
          <w:rFonts w:hint="eastAsia" w:ascii="仿宋_GB2312" w:hAnsi="仿宋_GB2312" w:eastAsia="仿宋_GB2312" w:cs="仿宋_GB2312"/>
          <w:color w:val="000000" w:themeColor="text1"/>
          <w:sz w:val="32"/>
          <w:szCs w:val="32"/>
        </w:rPr>
        <w:t xml:space="preserve"> 实行建筑物能效测评标识制度。能效测评机构根据建设单位或者建筑物所有权人的申请，对建筑物的能源利用效率进行测评及等级评定。</w:t>
      </w:r>
    </w:p>
    <w:p>
      <w:pPr>
        <w:pStyle w:val="25"/>
        <w:overflowPunct w:val="0"/>
        <w:spacing w:line="560" w:lineRule="exact"/>
        <w:ind w:firstLine="640"/>
        <w:rPr>
          <w:rFonts w:ascii="仿宋_GB2312" w:hAnsi="仿宋_GB2312" w:eastAsia="仿宋_GB2312" w:cs="仿宋_GB2312"/>
          <w:color w:val="000000" w:themeColor="text1"/>
          <w:sz w:val="32"/>
          <w:szCs w:val="32"/>
        </w:rPr>
      </w:pPr>
      <w:r>
        <w:rPr>
          <w:rStyle w:val="21"/>
          <w:rFonts w:hint="default" w:ascii="黑体" w:hAnsi="黑体" w:eastAsia="黑体" w:cs="黑体"/>
          <w:bCs/>
          <w:color w:val="000000" w:themeColor="text1"/>
          <w:szCs w:val="32"/>
        </w:rPr>
        <w:t>第三十八条</w:t>
      </w:r>
      <w:r>
        <w:rPr>
          <w:rFonts w:hint="eastAsia" w:ascii="仿宋_GB2312" w:hAnsi="仿宋_GB2312" w:eastAsia="仿宋_GB2312" w:cs="仿宋_GB2312"/>
          <w:color w:val="000000" w:themeColor="text1"/>
          <w:sz w:val="32"/>
          <w:szCs w:val="32"/>
        </w:rPr>
        <w:t xml:space="preserve">  市住房建设主管部门应当会同有关部门建立大型公共建筑、国家机关办公建筑和财政性资金参与投资建设的其他公共建筑使用期间的绿色性能定期评估制度，</w:t>
      </w:r>
      <w:r>
        <w:rPr>
          <w:rFonts w:hint="eastAsia" w:ascii="仿宋_GB2312" w:hAnsi="仿宋_GB2312" w:eastAsia="仿宋_GB2312" w:cs="仿宋_GB2312"/>
          <w:color w:val="000000"/>
          <w:sz w:val="32"/>
          <w:szCs w:val="32"/>
        </w:rPr>
        <w:t>以确保建筑绿色性能持续达到标准要求</w:t>
      </w:r>
      <w:r>
        <w:rPr>
          <w:rFonts w:hint="eastAsia" w:ascii="仿宋_GB2312" w:hAnsi="仿宋_GB2312" w:eastAsia="仿宋_GB2312" w:cs="仿宋_GB2312"/>
          <w:color w:val="000000" w:themeColor="text1"/>
          <w:sz w:val="32"/>
          <w:szCs w:val="32"/>
        </w:rPr>
        <w:t>。</w:t>
      </w:r>
    </w:p>
    <w:p>
      <w:pPr>
        <w:pStyle w:val="25"/>
        <w:overflowPunct w:val="0"/>
        <w:spacing w:line="560" w:lineRule="exact"/>
        <w:ind w:firstLine="64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鼓励其他建筑</w:t>
      </w:r>
      <w:r>
        <w:rPr>
          <w:rFonts w:hint="eastAsia" w:ascii="仿宋_GB2312" w:hAnsi="仿宋_GB2312" w:eastAsia="仿宋_GB2312" w:cs="仿宋_GB2312"/>
          <w:color w:val="000000"/>
          <w:sz w:val="32"/>
          <w:szCs w:val="32"/>
        </w:rPr>
        <w:t>定期</w:t>
      </w:r>
      <w:r>
        <w:rPr>
          <w:rFonts w:hint="eastAsia" w:ascii="仿宋_GB2312" w:hAnsi="仿宋_GB2312" w:eastAsia="仿宋_GB2312" w:cs="仿宋_GB2312"/>
          <w:color w:val="000000" w:themeColor="text1"/>
          <w:sz w:val="32"/>
          <w:szCs w:val="32"/>
        </w:rPr>
        <w:t>开展绿色建筑性能评估。</w:t>
      </w:r>
    </w:p>
    <w:p>
      <w:pPr>
        <w:pStyle w:val="25"/>
        <w:overflowPunct w:val="0"/>
        <w:spacing w:line="560" w:lineRule="exact"/>
        <w:ind w:firstLine="640"/>
        <w:rPr>
          <w:rFonts w:ascii="仿宋_GB2312" w:hAnsi="仿宋_GB2312" w:eastAsia="仿宋_GB2312" w:cs="仿宋_GB2312"/>
          <w:color w:val="000000" w:themeColor="text1"/>
          <w:sz w:val="32"/>
          <w:szCs w:val="32"/>
        </w:rPr>
      </w:pPr>
    </w:p>
    <w:p>
      <w:pPr>
        <w:pStyle w:val="5"/>
        <w:overflowPunct w:val="0"/>
        <w:spacing w:before="0" w:beforeAutospacing="0" w:after="0" w:afterAutospacing="0" w:line="560" w:lineRule="exact"/>
        <w:ind w:firstLine="0"/>
        <w:jc w:val="center"/>
        <w:rPr>
          <w:rFonts w:cs="黑体"/>
          <w:bCs/>
          <w:color w:val="000000" w:themeColor="text1"/>
          <w:sz w:val="32"/>
          <w:szCs w:val="32"/>
        </w:rPr>
      </w:pPr>
      <w:r>
        <w:rPr>
          <w:rFonts w:hint="eastAsia" w:cs="黑体"/>
          <w:bCs/>
          <w:color w:val="000000" w:themeColor="text1"/>
          <w:sz w:val="32"/>
          <w:szCs w:val="32"/>
        </w:rPr>
        <w:t>第五章  促进和保障</w:t>
      </w:r>
    </w:p>
    <w:p>
      <w:pPr>
        <w:overflowPunct w:val="0"/>
        <w:spacing w:line="560" w:lineRule="exact"/>
        <w:rPr>
          <w:rFonts w:eastAsia="仿宋_GB2312"/>
          <w:color w:val="000000" w:themeColor="text1"/>
          <w:sz w:val="32"/>
          <w:szCs w:val="32"/>
        </w:rPr>
      </w:pPr>
    </w:p>
    <w:p>
      <w:pPr>
        <w:overflowPunct w:val="0"/>
        <w:spacing w:line="560" w:lineRule="exact"/>
        <w:ind w:firstLine="640"/>
        <w:rPr>
          <w:rStyle w:val="21"/>
          <w:rFonts w:hint="default" w:ascii="仿宋_GB2312"/>
          <w:color w:val="000000" w:themeColor="text1"/>
          <w:szCs w:val="32"/>
        </w:rPr>
      </w:pPr>
      <w:r>
        <w:rPr>
          <w:rFonts w:hint="eastAsia" w:ascii="黑体" w:hAnsi="黑体" w:eastAsia="黑体" w:cs="黑体"/>
          <w:bCs/>
          <w:color w:val="000000" w:themeColor="text1"/>
          <w:sz w:val="32"/>
          <w:szCs w:val="32"/>
        </w:rPr>
        <w:t>第三十九条</w:t>
      </w:r>
      <w:r>
        <w:rPr>
          <w:rFonts w:hint="eastAsia" w:eastAsia="黑体"/>
          <w:b/>
          <w:color w:val="000000" w:themeColor="text1"/>
          <w:sz w:val="32"/>
          <w:szCs w:val="32"/>
        </w:rPr>
        <w:t xml:space="preserve">  </w:t>
      </w:r>
      <w:r>
        <w:rPr>
          <w:rStyle w:val="21"/>
          <w:rFonts w:hint="default" w:ascii="仿宋_GB2312"/>
          <w:color w:val="000000" w:themeColor="text1"/>
          <w:szCs w:val="32"/>
        </w:rPr>
        <w:t>市、区人民政府应当制定支持绿色建筑产业发展的政策措施，扶持绿色建筑示范项目和产业基地，加快培育具有国际竞争力的本市绿色建筑企业。</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zCs w:val="32"/>
        </w:rPr>
        <w:t>市工业和信息化部门应当将绿色建筑产业纳入战略性新兴产业。</w:t>
      </w:r>
    </w:p>
    <w:p>
      <w:pPr>
        <w:overflowPunct w:val="0"/>
        <w:spacing w:line="580" w:lineRule="exact"/>
        <w:ind w:firstLine="640"/>
        <w:rPr>
          <w:rStyle w:val="20"/>
          <w:rFonts w:eastAsia="黑体"/>
          <w:b w:val="0"/>
          <w:bCs/>
          <w:color w:val="000000" w:themeColor="text1"/>
          <w:sz w:val="32"/>
          <w:szCs w:val="32"/>
        </w:rPr>
      </w:pPr>
      <w:r>
        <w:rPr>
          <w:rFonts w:hint="eastAsia" w:ascii="黑体" w:hAnsi="黑体" w:eastAsia="黑体" w:cs="黑体"/>
          <w:color w:val="000000" w:themeColor="text1"/>
          <w:sz w:val="32"/>
          <w:szCs w:val="32"/>
        </w:rPr>
        <w:t>第四十条</w:t>
      </w:r>
      <w:r>
        <w:rPr>
          <w:rStyle w:val="20"/>
          <w:rFonts w:hint="eastAsia" w:eastAsia="黑体"/>
          <w:b w:val="0"/>
          <w:bCs/>
          <w:color w:val="000000" w:themeColor="text1"/>
          <w:sz w:val="32"/>
          <w:szCs w:val="32"/>
        </w:rPr>
        <w:t xml:space="preserve">  </w:t>
      </w:r>
      <w:r>
        <w:rPr>
          <w:rFonts w:ascii="仿宋_GB2312" w:hAnsi="微软雅黑" w:eastAsia="仿宋_GB2312"/>
          <w:bCs/>
          <w:color w:val="000000"/>
          <w:sz w:val="32"/>
          <w:szCs w:val="32"/>
        </w:rPr>
        <w:t>市、区财政部门应当安排相应资金用于支持绿色建筑</w:t>
      </w:r>
      <w:r>
        <w:rPr>
          <w:rFonts w:hint="eastAsia" w:ascii="仿宋_GB2312" w:hAnsi="微软雅黑" w:eastAsia="仿宋_GB2312"/>
          <w:bCs/>
          <w:color w:val="000000"/>
          <w:sz w:val="32"/>
          <w:szCs w:val="32"/>
        </w:rPr>
        <w:t>产业</w:t>
      </w:r>
      <w:r>
        <w:rPr>
          <w:rFonts w:ascii="仿宋_GB2312" w:hAnsi="微软雅黑" w:eastAsia="仿宋_GB2312"/>
          <w:bCs/>
          <w:color w:val="000000"/>
          <w:sz w:val="32"/>
          <w:szCs w:val="32"/>
        </w:rPr>
        <w:t>发展</w:t>
      </w:r>
      <w:r>
        <w:rPr>
          <w:rFonts w:hint="eastAsia" w:ascii="仿宋_GB2312" w:hAnsi="微软雅黑" w:eastAsia="仿宋_GB2312"/>
          <w:bCs/>
          <w:color w:val="000000"/>
          <w:sz w:val="32"/>
          <w:szCs w:val="32"/>
        </w:rPr>
        <w:t>。</w:t>
      </w:r>
    </w:p>
    <w:p>
      <w:pPr>
        <w:overflowPunct w:val="0"/>
        <w:spacing w:line="580" w:lineRule="exact"/>
        <w:ind w:firstLine="640"/>
        <w:rPr>
          <w:rStyle w:val="21"/>
          <w:rFonts w:hint="default" w:ascii="仿宋_GB2312"/>
          <w:bCs/>
          <w:color w:val="000000" w:themeColor="text1"/>
          <w:szCs w:val="32"/>
        </w:rPr>
      </w:pPr>
      <w:r>
        <w:rPr>
          <w:rStyle w:val="21"/>
          <w:rFonts w:hint="default" w:ascii="仿宋_GB2312"/>
          <w:bCs/>
          <w:color w:val="000000" w:themeColor="text1"/>
          <w:szCs w:val="32"/>
        </w:rPr>
        <w:t>市、区人民政府应当鼓励支持高等院校、科研机构和企业研究开发、生产应用</w:t>
      </w:r>
      <w:r>
        <w:rPr>
          <w:rStyle w:val="21"/>
          <w:rFonts w:hint="default"/>
          <w:color w:val="000000" w:themeColor="text1"/>
          <w:szCs w:val="32"/>
        </w:rPr>
        <w:t>绿色低碳</w:t>
      </w:r>
      <w:r>
        <w:rPr>
          <w:rStyle w:val="21"/>
          <w:rFonts w:hint="default" w:ascii="仿宋_GB2312"/>
          <w:bCs/>
          <w:color w:val="000000" w:themeColor="text1"/>
          <w:szCs w:val="32"/>
        </w:rPr>
        <w:t>新技术、新工艺、新材料和新设备，并对建筑节能、绿色建筑和新型建筑工业化示范项目予以资助。</w:t>
      </w:r>
    </w:p>
    <w:p>
      <w:pPr>
        <w:pStyle w:val="24"/>
        <w:overflowPunct w:val="0"/>
        <w:spacing w:before="0" w:after="0" w:line="580" w:lineRule="exact"/>
        <w:ind w:firstLine="640"/>
        <w:rPr>
          <w:rStyle w:val="21"/>
          <w:rFonts w:hint="default" w:ascii="仿宋_GB2312"/>
          <w:color w:val="000000" w:themeColor="text1"/>
          <w:szCs w:val="32"/>
        </w:rPr>
      </w:pPr>
      <w:r>
        <w:rPr>
          <w:rFonts w:hint="eastAsia" w:ascii="黑体" w:hAnsi="黑体" w:eastAsia="黑体" w:cs="黑体"/>
          <w:bCs/>
          <w:color w:val="000000" w:themeColor="text1"/>
          <w:sz w:val="32"/>
          <w:szCs w:val="32"/>
        </w:rPr>
        <w:t>第四十一条</w:t>
      </w:r>
      <w:r>
        <w:rPr>
          <w:rFonts w:hint="eastAsia" w:eastAsia="黑体"/>
          <w:b/>
          <w:color w:val="000000" w:themeColor="text1"/>
          <w:sz w:val="32"/>
          <w:szCs w:val="32"/>
        </w:rPr>
        <w:t xml:space="preserve">  </w:t>
      </w:r>
      <w:r>
        <w:rPr>
          <w:rStyle w:val="21"/>
          <w:rFonts w:hint="default" w:ascii="仿宋_GB2312"/>
          <w:color w:val="000000" w:themeColor="text1"/>
          <w:szCs w:val="32"/>
        </w:rPr>
        <w:t>鼓励和支持绿色建筑</w:t>
      </w:r>
      <w:r>
        <w:rPr>
          <w:rStyle w:val="21"/>
          <w:rFonts w:hint="default"/>
          <w:color w:val="000000" w:themeColor="text1"/>
          <w:szCs w:val="32"/>
        </w:rPr>
        <w:t>相关</w:t>
      </w:r>
      <w:r>
        <w:rPr>
          <w:rStyle w:val="21"/>
          <w:rFonts w:hint="default" w:ascii="仿宋_GB2312"/>
          <w:color w:val="000000" w:themeColor="text1"/>
          <w:szCs w:val="32"/>
        </w:rPr>
        <w:t>技术的研究、开发、示范、成果转化和推广应用</w:t>
      </w:r>
      <w:r>
        <w:rPr>
          <w:rStyle w:val="21"/>
          <w:rFonts w:hint="default"/>
          <w:color w:val="000000" w:themeColor="text1"/>
          <w:szCs w:val="32"/>
        </w:rPr>
        <w:t>，</w:t>
      </w:r>
      <w:r>
        <w:rPr>
          <w:rStyle w:val="21"/>
          <w:rFonts w:hint="default" w:ascii="仿宋_GB2312"/>
          <w:color w:val="000000" w:themeColor="text1"/>
          <w:szCs w:val="32"/>
        </w:rPr>
        <w:t>推动</w:t>
      </w:r>
      <w:r>
        <w:rPr>
          <w:rStyle w:val="21"/>
          <w:rFonts w:hint="default"/>
          <w:color w:val="000000" w:themeColor="text1"/>
          <w:szCs w:val="32"/>
        </w:rPr>
        <w:t>绿色</w:t>
      </w:r>
      <w:r>
        <w:rPr>
          <w:rStyle w:val="21"/>
          <w:rFonts w:hint="default" w:ascii="仿宋_GB2312"/>
          <w:color w:val="000000" w:themeColor="text1"/>
          <w:szCs w:val="32"/>
        </w:rPr>
        <w:t>建筑与</w:t>
      </w:r>
      <w:r>
        <w:rPr>
          <w:rStyle w:val="21"/>
          <w:rFonts w:hint="default"/>
          <w:color w:val="000000" w:themeColor="text1"/>
          <w:szCs w:val="32"/>
        </w:rPr>
        <w:t>新</w:t>
      </w:r>
      <w:r>
        <w:rPr>
          <w:rStyle w:val="21"/>
          <w:rFonts w:hint="default" w:ascii="仿宋_GB2312"/>
          <w:color w:val="000000" w:themeColor="text1"/>
          <w:szCs w:val="32"/>
        </w:rPr>
        <w:t>技术融合发展。</w:t>
      </w:r>
    </w:p>
    <w:p>
      <w:pPr>
        <w:pStyle w:val="24"/>
        <w:overflowPunct w:val="0"/>
        <w:spacing w:before="0" w:after="0" w:line="580" w:lineRule="exact"/>
        <w:ind w:firstLine="640"/>
        <w:rPr>
          <w:rStyle w:val="21"/>
          <w:rFonts w:hint="default" w:ascii="仿宋_GB2312"/>
          <w:color w:val="000000" w:themeColor="text1"/>
          <w:szCs w:val="32"/>
        </w:rPr>
      </w:pPr>
      <w:r>
        <w:rPr>
          <w:rStyle w:val="21"/>
          <w:rFonts w:hint="default" w:ascii="仿宋_GB2312"/>
          <w:color w:val="000000" w:themeColor="text1"/>
          <w:szCs w:val="32"/>
        </w:rPr>
        <w:t>推动新建建筑项目在</w:t>
      </w:r>
      <w:r>
        <w:rPr>
          <w:rStyle w:val="21"/>
          <w:rFonts w:hint="default"/>
          <w:color w:val="000000" w:themeColor="text1"/>
          <w:szCs w:val="32"/>
        </w:rPr>
        <w:t>勘察、</w:t>
      </w:r>
      <w:r>
        <w:rPr>
          <w:rStyle w:val="21"/>
          <w:rFonts w:hint="default" w:ascii="仿宋_GB2312"/>
          <w:color w:val="000000" w:themeColor="text1"/>
          <w:szCs w:val="32"/>
        </w:rPr>
        <w:t>设计、施工和运行管理中应用</w:t>
      </w:r>
      <w:r>
        <w:rPr>
          <w:rStyle w:val="21"/>
          <w:rFonts w:hint="default"/>
          <w:color w:val="000000" w:themeColor="text1"/>
          <w:szCs w:val="32"/>
        </w:rPr>
        <w:t>建筑信息模型等数字化</w:t>
      </w:r>
      <w:r>
        <w:rPr>
          <w:rStyle w:val="21"/>
          <w:rFonts w:hint="default" w:ascii="仿宋_GB2312"/>
          <w:color w:val="000000" w:themeColor="text1"/>
          <w:szCs w:val="32"/>
        </w:rPr>
        <w:t>技术</w:t>
      </w:r>
      <w:r>
        <w:rPr>
          <w:rStyle w:val="21"/>
          <w:rFonts w:hint="default"/>
          <w:color w:val="000000" w:themeColor="text1"/>
          <w:szCs w:val="32"/>
        </w:rPr>
        <w:t>。</w:t>
      </w:r>
      <w:r>
        <w:rPr>
          <w:rStyle w:val="21"/>
          <w:rFonts w:hint="default" w:ascii="仿宋_GB2312"/>
          <w:color w:val="000000" w:themeColor="text1"/>
          <w:szCs w:val="32"/>
        </w:rPr>
        <w:t>大型公共建筑、国家机关办公建筑和财政性资金参与投资建设的其他公共建筑应当在</w:t>
      </w:r>
      <w:r>
        <w:rPr>
          <w:rStyle w:val="21"/>
          <w:rFonts w:hint="default"/>
          <w:color w:val="000000" w:themeColor="text1"/>
          <w:szCs w:val="32"/>
        </w:rPr>
        <w:t>勘察、</w:t>
      </w:r>
      <w:r>
        <w:rPr>
          <w:rStyle w:val="21"/>
          <w:rFonts w:hint="default" w:ascii="仿宋_GB2312"/>
          <w:color w:val="000000" w:themeColor="text1"/>
          <w:szCs w:val="32"/>
        </w:rPr>
        <w:t>设计、施工和运行管理中采用</w:t>
      </w:r>
      <w:r>
        <w:rPr>
          <w:rStyle w:val="21"/>
          <w:rFonts w:hint="default"/>
          <w:color w:val="000000" w:themeColor="text1"/>
          <w:szCs w:val="32"/>
        </w:rPr>
        <w:t>建筑信息模型等数字化</w:t>
      </w:r>
      <w:r>
        <w:rPr>
          <w:rStyle w:val="21"/>
          <w:rFonts w:hint="default" w:ascii="仿宋_GB2312"/>
          <w:color w:val="000000" w:themeColor="text1"/>
          <w:szCs w:val="32"/>
        </w:rPr>
        <w:t>技术。</w:t>
      </w:r>
    </w:p>
    <w:p>
      <w:pPr>
        <w:pStyle w:val="24"/>
        <w:overflowPunct w:val="0"/>
        <w:spacing w:before="0" w:after="0" w:line="580" w:lineRule="exact"/>
        <w:ind w:firstLine="640"/>
        <w:rPr>
          <w:rStyle w:val="21"/>
          <w:rFonts w:hint="default" w:ascii="仿宋_GB2312"/>
          <w:color w:val="000000" w:themeColor="text1"/>
          <w:szCs w:val="32"/>
        </w:rPr>
      </w:pPr>
      <w:r>
        <w:rPr>
          <w:rStyle w:val="21"/>
          <w:rFonts w:hint="default" w:ascii="黑体" w:hAnsi="黑体" w:eastAsia="黑体" w:cs="黑体"/>
          <w:color w:val="000000" w:themeColor="text1"/>
          <w:szCs w:val="32"/>
        </w:rPr>
        <w:t>第四十二条</w:t>
      </w:r>
      <w:r>
        <w:rPr>
          <w:rStyle w:val="21"/>
          <w:rFonts w:hint="default"/>
          <w:color w:val="000000" w:themeColor="text1"/>
          <w:szCs w:val="32"/>
        </w:rPr>
        <w:t xml:space="preserve">  </w:t>
      </w:r>
      <w:r>
        <w:rPr>
          <w:rStyle w:val="21"/>
          <w:rFonts w:hint="default" w:ascii="仿宋_GB2312"/>
          <w:color w:val="000000" w:themeColor="text1"/>
          <w:szCs w:val="32"/>
        </w:rPr>
        <w:t>市、区人民政府应当促进</w:t>
      </w:r>
      <w:r>
        <w:rPr>
          <w:rStyle w:val="21"/>
          <w:rFonts w:hint="default"/>
          <w:color w:val="000000" w:themeColor="text1"/>
          <w:szCs w:val="32"/>
        </w:rPr>
        <w:t>以绿色化、数字化、智能化为特征的</w:t>
      </w:r>
      <w:r>
        <w:rPr>
          <w:rStyle w:val="21"/>
          <w:rFonts w:hint="default" w:ascii="仿宋_GB2312"/>
          <w:color w:val="000000" w:themeColor="text1"/>
          <w:szCs w:val="32"/>
        </w:rPr>
        <w:t>新型建筑工业化建造方式</w:t>
      </w:r>
      <w:r>
        <w:rPr>
          <w:rStyle w:val="21"/>
          <w:rFonts w:hint="default"/>
          <w:color w:val="000000" w:themeColor="text1"/>
          <w:szCs w:val="32"/>
        </w:rPr>
        <w:t>的</w:t>
      </w:r>
      <w:r>
        <w:rPr>
          <w:rStyle w:val="21"/>
          <w:rFonts w:hint="default" w:ascii="仿宋_GB2312"/>
          <w:color w:val="000000" w:themeColor="text1"/>
          <w:szCs w:val="32"/>
        </w:rPr>
        <w:t>发展，提高新建建筑项目的标准化设计、工厂化生产、装配化施工、</w:t>
      </w:r>
      <w:r>
        <w:rPr>
          <w:rStyle w:val="21"/>
          <w:rFonts w:hint="default" w:ascii="仿宋_GB2312"/>
          <w:color w:val="000000" w:themeColor="text1"/>
          <w:spacing w:val="-11"/>
          <w:szCs w:val="32"/>
        </w:rPr>
        <w:t>一体化装修、智能化管理水平，提高采用新型建筑工业化建造方式的建筑</w:t>
      </w:r>
      <w:r>
        <w:rPr>
          <w:rStyle w:val="21"/>
          <w:rFonts w:hint="default"/>
          <w:color w:val="000000" w:themeColor="text1"/>
          <w:spacing w:val="-11"/>
          <w:szCs w:val="32"/>
        </w:rPr>
        <w:t>占</w:t>
      </w:r>
      <w:r>
        <w:rPr>
          <w:rStyle w:val="21"/>
          <w:rFonts w:hint="default" w:ascii="仿宋_GB2312"/>
          <w:color w:val="000000" w:themeColor="text1"/>
          <w:spacing w:val="-11"/>
          <w:szCs w:val="32"/>
        </w:rPr>
        <w:t>新建建筑的比例，</w:t>
      </w:r>
      <w:r>
        <w:rPr>
          <w:rStyle w:val="21"/>
          <w:rFonts w:hint="default"/>
          <w:color w:val="000000" w:themeColor="text1"/>
          <w:spacing w:val="-11"/>
          <w:szCs w:val="32"/>
        </w:rPr>
        <w:t>加快打造建筑产业互联网平台，促进建筑产业全要素、全产业链、全价值链的互联互通</w:t>
      </w:r>
      <w:r>
        <w:rPr>
          <w:rStyle w:val="21"/>
          <w:rFonts w:hint="default" w:ascii="仿宋_GB2312"/>
          <w:color w:val="000000" w:themeColor="text1"/>
          <w:spacing w:val="-11"/>
          <w:szCs w:val="32"/>
        </w:rPr>
        <w:t>。</w:t>
      </w:r>
    </w:p>
    <w:p>
      <w:pPr>
        <w:pStyle w:val="24"/>
        <w:overflowPunct w:val="0"/>
        <w:spacing w:before="0" w:after="0" w:line="580" w:lineRule="exact"/>
        <w:ind w:firstLine="640"/>
        <w:rPr>
          <w:rStyle w:val="21"/>
          <w:rFonts w:hint="default" w:ascii="仿宋_GB2312"/>
          <w:color w:val="000000" w:themeColor="text1"/>
          <w:szCs w:val="32"/>
        </w:rPr>
      </w:pPr>
      <w:r>
        <w:rPr>
          <w:rStyle w:val="21"/>
          <w:rFonts w:hint="default" w:ascii="仿宋_GB2312"/>
          <w:color w:val="000000" w:themeColor="text1"/>
          <w:szCs w:val="32"/>
        </w:rPr>
        <w:t>市住房建设主管部门应当完善</w:t>
      </w:r>
      <w:r>
        <w:rPr>
          <w:rStyle w:val="21"/>
          <w:rFonts w:hint="default"/>
          <w:color w:val="000000" w:themeColor="text1"/>
          <w:szCs w:val="32"/>
        </w:rPr>
        <w:t>新型建筑工业</w:t>
      </w:r>
      <w:r>
        <w:rPr>
          <w:rStyle w:val="21"/>
          <w:rFonts w:hint="default" w:ascii="仿宋_GB2312"/>
          <w:color w:val="000000" w:themeColor="text1"/>
          <w:szCs w:val="32"/>
        </w:rPr>
        <w:t>化</w:t>
      </w:r>
      <w:r>
        <w:rPr>
          <w:rStyle w:val="21"/>
          <w:rFonts w:hint="default"/>
          <w:color w:val="000000" w:themeColor="text1"/>
          <w:szCs w:val="32"/>
        </w:rPr>
        <w:t>相关</w:t>
      </w:r>
      <w:r>
        <w:rPr>
          <w:rStyle w:val="21"/>
          <w:rFonts w:hint="default" w:ascii="仿宋_GB2312"/>
          <w:color w:val="000000" w:themeColor="text1"/>
          <w:szCs w:val="32"/>
        </w:rPr>
        <w:t>政策制度、技术标准和评价认定体系。</w:t>
      </w:r>
    </w:p>
    <w:p>
      <w:pPr>
        <w:pStyle w:val="2"/>
        <w:overflowPunct w:val="0"/>
        <w:spacing w:after="0" w:line="540" w:lineRule="exact"/>
        <w:ind w:firstLine="640" w:firstLineChars="200"/>
        <w:rPr>
          <w:rStyle w:val="21"/>
          <w:rFonts w:hint="default" w:cs="仿宋_GB2312"/>
          <w:color w:val="000000" w:themeColor="text1"/>
          <w:szCs w:val="32"/>
        </w:rPr>
      </w:pPr>
      <w:r>
        <w:rPr>
          <w:rFonts w:hint="eastAsia" w:ascii="黑体" w:hAnsi="黑体" w:eastAsia="黑体" w:cs="黑体"/>
          <w:color w:val="000000" w:themeColor="text1"/>
          <w:sz w:val="32"/>
          <w:szCs w:val="32"/>
        </w:rPr>
        <w:t>第四十三条</w:t>
      </w:r>
      <w:r>
        <w:rPr>
          <w:rFonts w:hint="eastAsia" w:eastAsia="仿宋_GB2312"/>
          <w:color w:val="000000" w:themeColor="text1"/>
          <w:sz w:val="32"/>
          <w:szCs w:val="32"/>
        </w:rPr>
        <w:t xml:space="preserve">  市、区</w:t>
      </w:r>
      <w:r>
        <w:rPr>
          <w:rStyle w:val="21"/>
          <w:rFonts w:hint="default" w:cs="仿宋_GB2312"/>
          <w:color w:val="000000" w:themeColor="text1"/>
          <w:szCs w:val="32"/>
        </w:rPr>
        <w:t>住房建设主管部门和市场监管部门应当按照职责加强部品部件生产和使用监督管理。</w:t>
      </w:r>
    </w:p>
    <w:p>
      <w:pPr>
        <w:pStyle w:val="2"/>
        <w:overflowPunct w:val="0"/>
        <w:spacing w:after="0" w:line="540" w:lineRule="exact"/>
        <w:ind w:firstLine="640" w:firstLineChars="200"/>
        <w:rPr>
          <w:rStyle w:val="21"/>
          <w:rFonts w:hint="default" w:cs="仿宋_GB2312"/>
          <w:color w:val="000000" w:themeColor="text1"/>
          <w:szCs w:val="32"/>
        </w:rPr>
      </w:pPr>
      <w:r>
        <w:rPr>
          <w:rStyle w:val="21"/>
          <w:rFonts w:cs="仿宋_GB2312"/>
          <w:color w:val="000000" w:themeColor="text1"/>
          <w:szCs w:val="32"/>
        </w:rPr>
        <w:t>市、区</w:t>
      </w:r>
      <w:r>
        <w:rPr>
          <w:rStyle w:val="21"/>
          <w:rFonts w:hint="default" w:cs="仿宋_GB2312"/>
          <w:color w:val="000000" w:themeColor="text1"/>
          <w:szCs w:val="32"/>
        </w:rPr>
        <w:t>市场监管部门负责对部品部件生产企业的监督管理，引导、督促生产企业严格落实产品质量安全主体责任，并建立原材料查验制度、产品生产信息档案等，实现对所生产产品的可追溯管理；</w:t>
      </w:r>
      <w:r>
        <w:rPr>
          <w:rStyle w:val="21"/>
          <w:rFonts w:cs="仿宋_GB2312"/>
          <w:color w:val="000000" w:themeColor="text1"/>
          <w:szCs w:val="32"/>
        </w:rPr>
        <w:t>市、区</w:t>
      </w:r>
      <w:r>
        <w:rPr>
          <w:rStyle w:val="21"/>
          <w:rFonts w:hint="default" w:cs="仿宋_GB2312"/>
          <w:color w:val="000000" w:themeColor="text1"/>
          <w:szCs w:val="32"/>
        </w:rPr>
        <w:t>住房建设主管部门负责工程建设过程中部品部件使用监管，规范进场验收，统一验收资料和标准，推广应用标准化部品部件。</w:t>
      </w:r>
    </w:p>
    <w:p>
      <w:pPr>
        <w:pStyle w:val="2"/>
        <w:overflowPunct w:val="0"/>
        <w:spacing w:after="0" w:line="540" w:lineRule="exact"/>
        <w:ind w:firstLine="640" w:firstLineChars="200"/>
        <w:rPr>
          <w:rStyle w:val="21"/>
          <w:rFonts w:hint="default" w:ascii="仿宋_GB2312"/>
          <w:color w:val="000000" w:themeColor="text1"/>
          <w:szCs w:val="32"/>
        </w:rPr>
      </w:pPr>
      <w:r>
        <w:rPr>
          <w:rFonts w:hint="eastAsia" w:ascii="黑体" w:hAnsi="黑体" w:eastAsia="黑体" w:cs="黑体"/>
          <w:color w:val="000000" w:themeColor="text1"/>
          <w:sz w:val="32"/>
          <w:szCs w:val="32"/>
        </w:rPr>
        <w:t>第四十四条</w:t>
      </w:r>
      <w:r>
        <w:rPr>
          <w:rFonts w:hint="eastAsia" w:eastAsia="仿宋_GB2312"/>
          <w:color w:val="000000" w:themeColor="text1"/>
          <w:sz w:val="32"/>
          <w:szCs w:val="32"/>
        </w:rPr>
        <w:t xml:space="preserve">  </w:t>
      </w:r>
      <w:r>
        <w:rPr>
          <w:rStyle w:val="21"/>
          <w:rFonts w:hint="default" w:ascii="仿宋_GB2312"/>
          <w:color w:val="000000" w:themeColor="text1"/>
          <w:szCs w:val="32"/>
        </w:rPr>
        <w:t>大力推广应用绿色建材和建筑废弃物综合利用产品。大型公共建筑、国家机关办公建筑和财政性资金参与投资建设的公共建筑应当优先采购和使用绿色建材以及建筑废弃物综合利用技术和产品。</w:t>
      </w:r>
      <w:r>
        <w:rPr>
          <w:rFonts w:hint="eastAsia" w:eastAsia="仿宋_GB2312"/>
          <w:color w:val="000000" w:themeColor="text1"/>
          <w:sz w:val="32"/>
          <w:szCs w:val="32"/>
        </w:rPr>
        <w:t xml:space="preserve"> </w:t>
      </w:r>
    </w:p>
    <w:p>
      <w:pPr>
        <w:overflowPunct w:val="0"/>
        <w:spacing w:line="54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第四十五条</w:t>
      </w:r>
      <w:r>
        <w:rPr>
          <w:rStyle w:val="20"/>
          <w:rFonts w:hint="eastAsia" w:eastAsia="黑体"/>
          <w:color w:val="000000" w:themeColor="text1"/>
          <w:sz w:val="32"/>
          <w:szCs w:val="32"/>
        </w:rPr>
        <w:t xml:space="preserve">  </w:t>
      </w:r>
      <w:r>
        <w:rPr>
          <w:rStyle w:val="21"/>
          <w:rFonts w:hint="default" w:ascii="仿宋_GB2312"/>
          <w:color w:val="000000" w:themeColor="text1"/>
          <w:szCs w:val="32"/>
        </w:rPr>
        <w:t>鼓励金融机构按照国家有关规定，通过绿色信贷、绿色保险、绿色债券等多种方式提供绿色金融服务。</w:t>
      </w:r>
    </w:p>
    <w:p>
      <w:pPr>
        <w:overflowPunct w:val="0"/>
        <w:spacing w:line="540" w:lineRule="exact"/>
        <w:ind w:firstLine="420"/>
        <w:rPr>
          <w:rFonts w:eastAsia="仿宋_GB2312"/>
          <w:color w:val="000000" w:themeColor="text1"/>
          <w:sz w:val="32"/>
          <w:szCs w:val="32"/>
        </w:rPr>
      </w:pPr>
      <w:r>
        <w:rPr>
          <w:rStyle w:val="21"/>
          <w:rFonts w:hint="default" w:ascii="仿宋_GB2312"/>
          <w:color w:val="000000" w:themeColor="text1"/>
          <w:szCs w:val="32"/>
        </w:rPr>
        <w:t>鼓励银行业金融机构开发、推广能效贷款、合同能源管理收益权质押贷款等信贷产品。鼓励保险业金融机构开展绿色建筑质量等相关绿色保险业务。</w:t>
      </w:r>
      <w:r>
        <w:rPr>
          <w:rStyle w:val="20"/>
          <w:rFonts w:hint="eastAsia" w:ascii="黑体" w:hAnsi="黑体" w:eastAsia="黑体" w:cs="黑体"/>
          <w:b w:val="0"/>
          <w:bCs/>
          <w:color w:val="000000" w:themeColor="text1"/>
          <w:sz w:val="32"/>
          <w:szCs w:val="32"/>
        </w:rPr>
        <w:t xml:space="preserve"> </w:t>
      </w:r>
    </w:p>
    <w:p>
      <w:pPr>
        <w:pStyle w:val="2"/>
        <w:overflowPunct w:val="0"/>
        <w:spacing w:after="0" w:line="540" w:lineRule="exact"/>
        <w:ind w:firstLine="640" w:firstLineChars="200"/>
        <w:rPr>
          <w:rFonts w:ascii="仿宋_GB2312" w:hAnsi="仿宋_GB2312" w:eastAsia="仿宋_GB2312" w:cs="仿宋_GB2312"/>
          <w:color w:val="000000" w:themeColor="text1"/>
          <w:sz w:val="32"/>
          <w:szCs w:val="32"/>
        </w:rPr>
      </w:pPr>
      <w:r>
        <w:rPr>
          <w:rFonts w:hint="eastAsia" w:ascii="黑体" w:hAnsi="黑体" w:eastAsia="黑体" w:cs="黑体"/>
          <w:bCs/>
          <w:color w:val="000000" w:themeColor="text1"/>
          <w:sz w:val="32"/>
          <w:szCs w:val="32"/>
        </w:rPr>
        <w:t>第四十六条</w:t>
      </w:r>
      <w:r>
        <w:rPr>
          <w:rFonts w:hint="eastAsia" w:eastAsia="黑体"/>
          <w:b/>
          <w:color w:val="000000" w:themeColor="text1"/>
          <w:sz w:val="32"/>
          <w:szCs w:val="32"/>
        </w:rPr>
        <w:t xml:space="preserve">  </w:t>
      </w:r>
      <w:r>
        <w:rPr>
          <w:rFonts w:hint="eastAsia" w:ascii="仿宋_GB2312" w:hAnsi="仿宋_GB2312" w:eastAsia="仿宋_GB2312" w:cs="仿宋_GB2312"/>
          <w:color w:val="000000" w:themeColor="text1"/>
          <w:sz w:val="32"/>
          <w:szCs w:val="32"/>
        </w:rPr>
        <w:t>支持高等院校、科研机构、企业和其他社会组织牵头或者参与绿色建筑相关领域国际标准、国家标准、行业标准、地方标准和团体标准的起草和修订，制定和实施更为严格的企业标准，推动科技创新成果形成相关技术标准。</w:t>
      </w:r>
    </w:p>
    <w:p>
      <w:pPr>
        <w:pStyle w:val="12"/>
        <w:overflowPunct w:val="0"/>
        <w:spacing w:before="0" w:beforeAutospacing="0" w:after="0" w:afterAutospacing="0" w:line="540" w:lineRule="exact"/>
        <w:ind w:firstLine="640"/>
        <w:rPr>
          <w:rFonts w:ascii="仿宋_GB2312" w:hAnsi="仿宋_GB2312" w:eastAsia="仿宋_GB2312" w:cs="仿宋_GB2312"/>
          <w:color w:val="000000" w:themeColor="text1"/>
          <w:sz w:val="32"/>
          <w:szCs w:val="32"/>
        </w:rPr>
      </w:pPr>
      <w:r>
        <w:rPr>
          <w:rFonts w:hint="eastAsia" w:ascii="仿宋_GB2312" w:hAnsi="仿宋_GB2312" w:eastAsia="仿宋_GB2312" w:cs="仿宋_GB2312"/>
          <w:color w:val="000000" w:themeColor="text1"/>
          <w:sz w:val="32"/>
          <w:szCs w:val="32"/>
        </w:rPr>
        <w:t>鼓励企业积极参与国际、国内交流合作，加强粤港澳大湾区绿色建筑发展的交流合作。</w:t>
      </w:r>
    </w:p>
    <w:p>
      <w:pPr>
        <w:overflowPunct w:val="0"/>
        <w:spacing w:line="540" w:lineRule="exact"/>
        <w:ind w:firstLine="640"/>
        <w:rPr>
          <w:rStyle w:val="21"/>
          <w:rFonts w:hint="default" w:ascii="仿宋_GB2312"/>
          <w:bCs/>
          <w:color w:val="000000" w:themeColor="text1"/>
          <w:szCs w:val="32"/>
        </w:rPr>
      </w:pPr>
      <w:r>
        <w:rPr>
          <w:rStyle w:val="20"/>
          <w:rFonts w:hint="eastAsia" w:ascii="黑体" w:hAnsi="黑体" w:eastAsia="黑体" w:cs="黑体"/>
          <w:b w:val="0"/>
          <w:bCs/>
          <w:color w:val="000000" w:themeColor="text1"/>
          <w:sz w:val="32"/>
          <w:szCs w:val="32"/>
        </w:rPr>
        <w:t>第四十七条</w:t>
      </w:r>
      <w:r>
        <w:rPr>
          <w:rStyle w:val="20"/>
          <w:rFonts w:hint="eastAsia" w:eastAsia="黑体"/>
          <w:color w:val="000000" w:themeColor="text1"/>
          <w:sz w:val="32"/>
          <w:szCs w:val="32"/>
        </w:rPr>
        <w:t xml:space="preserve">  </w:t>
      </w:r>
      <w:r>
        <w:rPr>
          <w:rStyle w:val="21"/>
          <w:rFonts w:hint="default" w:ascii="仿宋_GB2312"/>
          <w:bCs/>
          <w:color w:val="000000" w:themeColor="text1"/>
          <w:szCs w:val="32"/>
        </w:rPr>
        <w:t>建设、改造、购买、运行绿色建筑和符合实施绿色建筑发展要求的，市住房建设主管部门可以会同规划和自然资源等相关部门制定和实施以下激励政策：</w:t>
      </w:r>
    </w:p>
    <w:p>
      <w:pPr>
        <w:overflowPunct w:val="0"/>
        <w:spacing w:line="540" w:lineRule="exact"/>
        <w:ind w:firstLine="640"/>
        <w:rPr>
          <w:rStyle w:val="21"/>
          <w:rFonts w:hint="default" w:ascii="仿宋_GB2312"/>
          <w:bCs/>
          <w:color w:val="000000" w:themeColor="text1"/>
          <w:szCs w:val="32"/>
        </w:rPr>
      </w:pPr>
      <w:r>
        <w:rPr>
          <w:rStyle w:val="21"/>
          <w:rFonts w:hint="default" w:ascii="仿宋_GB2312"/>
          <w:bCs/>
          <w:color w:val="000000" w:themeColor="text1"/>
          <w:szCs w:val="32"/>
        </w:rPr>
        <w:t>（一）因采取隔热保温、遮阳、隔声降噪、可再生能源利用等绿色建筑发展相关技术措施而增加的建筑面积，不计入容积率核算；</w:t>
      </w:r>
    </w:p>
    <w:p>
      <w:pPr>
        <w:overflowPunct w:val="0"/>
        <w:spacing w:line="540" w:lineRule="exact"/>
        <w:ind w:firstLine="640"/>
        <w:rPr>
          <w:rStyle w:val="21"/>
          <w:rFonts w:hint="default" w:ascii="仿宋_GB2312"/>
          <w:bCs/>
          <w:color w:val="000000" w:themeColor="text1"/>
          <w:szCs w:val="32"/>
        </w:rPr>
      </w:pPr>
      <w:r>
        <w:rPr>
          <w:rStyle w:val="21"/>
          <w:rFonts w:hint="default" w:ascii="仿宋_GB2312"/>
          <w:bCs/>
          <w:color w:val="000000" w:themeColor="text1"/>
          <w:szCs w:val="32"/>
        </w:rPr>
        <w:t>（二）采用装配式等新型建筑工业化建造方式的绿色建筑，其外墙预制部分建筑面积可不计入容积率核算，最大不得超过建筑单体地上建筑面积的百分之三；</w:t>
      </w:r>
    </w:p>
    <w:p>
      <w:pPr>
        <w:overflowPunct w:val="0"/>
        <w:spacing w:line="540" w:lineRule="exact"/>
        <w:ind w:firstLine="640"/>
        <w:rPr>
          <w:rFonts w:eastAsia="仿宋_GB2312"/>
          <w:color w:val="000000" w:themeColor="text1"/>
          <w:sz w:val="32"/>
          <w:szCs w:val="32"/>
        </w:rPr>
      </w:pPr>
      <w:r>
        <w:rPr>
          <w:rStyle w:val="21"/>
          <w:rFonts w:hint="default" w:ascii="仿宋_GB2312"/>
          <w:bCs/>
          <w:color w:val="000000" w:themeColor="text1"/>
          <w:szCs w:val="32"/>
        </w:rPr>
        <w:t>（三）</w:t>
      </w:r>
      <w:r>
        <w:rPr>
          <w:rFonts w:hint="eastAsia" w:eastAsia="仿宋_GB2312"/>
          <w:color w:val="000000" w:themeColor="text1"/>
          <w:sz w:val="32"/>
          <w:szCs w:val="32"/>
        </w:rPr>
        <w:t>使用住房公积金贷款购买高于国家绿色建筑评价标准一星级的绿色建筑自住住房的，贷款额度可以按照不超过地方规定的比例上浮；</w:t>
      </w:r>
    </w:p>
    <w:p>
      <w:pPr>
        <w:pStyle w:val="2"/>
        <w:overflowPunct w:val="0"/>
        <w:spacing w:after="0" w:line="540" w:lineRule="exact"/>
        <w:ind w:firstLine="640" w:firstLineChars="200"/>
        <w:rPr>
          <w:rFonts w:eastAsia="仿宋_GB2312"/>
          <w:sz w:val="32"/>
          <w:szCs w:val="32"/>
        </w:rPr>
      </w:pPr>
      <w:r>
        <w:rPr>
          <w:rFonts w:hint="eastAsia" w:eastAsia="仿宋_GB2312"/>
          <w:color w:val="000000" w:themeColor="text1"/>
          <w:sz w:val="32"/>
          <w:szCs w:val="32"/>
        </w:rPr>
        <w:t>（四）采用最高等级标准建设的绿色建筑项目，可以在各类建筑工程奖项的评审中优先推荐。</w:t>
      </w:r>
    </w:p>
    <w:p>
      <w:pPr>
        <w:overflowPunct w:val="0"/>
        <w:spacing w:line="540" w:lineRule="exact"/>
        <w:ind w:firstLine="640" w:firstLineChars="200"/>
        <w:rPr>
          <w:rFonts w:eastAsia="仿宋_GB2312"/>
          <w:color w:val="000000" w:themeColor="text1"/>
          <w:sz w:val="32"/>
          <w:szCs w:val="32"/>
        </w:rPr>
      </w:pPr>
    </w:p>
    <w:p>
      <w:pPr>
        <w:pStyle w:val="5"/>
        <w:overflowPunct w:val="0"/>
        <w:spacing w:before="0" w:beforeAutospacing="0" w:after="0" w:afterAutospacing="0" w:line="540" w:lineRule="exact"/>
        <w:ind w:firstLine="0"/>
        <w:jc w:val="center"/>
        <w:rPr>
          <w:color w:val="000000" w:themeColor="text1"/>
          <w:sz w:val="32"/>
          <w:szCs w:val="32"/>
        </w:rPr>
      </w:pPr>
      <w:r>
        <w:rPr>
          <w:rFonts w:hint="eastAsia" w:cs="黑体"/>
          <w:bCs/>
          <w:color w:val="000000" w:themeColor="text1"/>
          <w:sz w:val="32"/>
          <w:szCs w:val="32"/>
        </w:rPr>
        <w:t>第六章  法律责任</w:t>
      </w:r>
    </w:p>
    <w:p>
      <w:pPr>
        <w:overflowPunct w:val="0"/>
        <w:spacing w:line="540" w:lineRule="exact"/>
        <w:rPr>
          <w:rFonts w:eastAsia="仿宋_GB2312"/>
          <w:color w:val="000000" w:themeColor="text1"/>
          <w:sz w:val="32"/>
          <w:szCs w:val="32"/>
        </w:rPr>
      </w:pPr>
    </w:p>
    <w:p>
      <w:pPr>
        <w:overflowPunct w:val="0"/>
        <w:spacing w:line="540" w:lineRule="exact"/>
        <w:ind w:firstLine="640"/>
        <w:rPr>
          <w:rStyle w:val="20"/>
          <w:rFonts w:ascii="黑体" w:hAnsi="黑体" w:eastAsia="黑体" w:cs="黑体"/>
          <w:b w:val="0"/>
          <w:bCs/>
          <w:color w:val="000000" w:themeColor="text1"/>
          <w:sz w:val="32"/>
          <w:szCs w:val="32"/>
        </w:rPr>
      </w:pPr>
      <w:r>
        <w:rPr>
          <w:rStyle w:val="20"/>
          <w:rFonts w:hint="eastAsia" w:ascii="黑体" w:hAnsi="黑体" w:eastAsia="黑体" w:cs="黑体"/>
          <w:b w:val="0"/>
          <w:bCs/>
          <w:color w:val="000000" w:themeColor="text1"/>
          <w:sz w:val="32"/>
          <w:szCs w:val="32"/>
        </w:rPr>
        <w:t xml:space="preserve">第四十八条  </w:t>
      </w:r>
      <w:r>
        <w:rPr>
          <w:rStyle w:val="21"/>
          <w:rFonts w:hint="default" w:ascii="仿宋_GB2312" w:cs="宋体"/>
          <w:color w:val="000000" w:themeColor="text1"/>
          <w:szCs w:val="32"/>
        </w:rPr>
        <w:t>违反本条例</w:t>
      </w:r>
      <w:r>
        <w:rPr>
          <w:rStyle w:val="21"/>
          <w:rFonts w:hint="default" w:ascii="仿宋_GB2312" w:cs="宋体"/>
          <w:bCs/>
          <w:color w:val="000000" w:themeColor="text1"/>
          <w:szCs w:val="32"/>
        </w:rPr>
        <w:t>第十</w:t>
      </w:r>
      <w:r>
        <w:rPr>
          <w:rStyle w:val="21"/>
          <w:rFonts w:hint="default" w:ascii="仿宋_GB2312" w:cs="宋体"/>
          <w:color w:val="000000" w:themeColor="text1"/>
          <w:szCs w:val="32"/>
        </w:rPr>
        <w:t>三</w:t>
      </w:r>
      <w:r>
        <w:rPr>
          <w:rStyle w:val="21"/>
          <w:rFonts w:hint="default" w:ascii="仿宋_GB2312" w:cs="宋体"/>
          <w:bCs/>
          <w:color w:val="000000" w:themeColor="text1"/>
          <w:szCs w:val="32"/>
        </w:rPr>
        <w:t>条</w:t>
      </w:r>
      <w:r>
        <w:rPr>
          <w:rStyle w:val="21"/>
          <w:rFonts w:hint="default" w:ascii="仿宋_GB2312" w:cs="宋体"/>
          <w:color w:val="000000" w:themeColor="text1"/>
          <w:szCs w:val="32"/>
        </w:rPr>
        <w:t>规定，</w:t>
      </w:r>
      <w:r>
        <w:rPr>
          <w:rStyle w:val="21"/>
          <w:rFonts w:ascii="仿宋_GB2312" w:cs="宋体"/>
          <w:color w:val="000000" w:themeColor="text1"/>
          <w:szCs w:val="32"/>
        </w:rPr>
        <w:t>相关</w:t>
      </w:r>
      <w:r>
        <w:rPr>
          <w:rStyle w:val="21"/>
          <w:rFonts w:hint="default" w:ascii="仿宋_GB2312" w:cs="宋体"/>
          <w:color w:val="000000" w:themeColor="text1"/>
          <w:szCs w:val="32"/>
        </w:rPr>
        <w:t>单位未编制绿色专篇，或者设计、施工、监理</w:t>
      </w:r>
      <w:r>
        <w:rPr>
          <w:rStyle w:val="21"/>
          <w:rFonts w:ascii="仿宋_GB2312" w:cs="宋体"/>
          <w:color w:val="000000" w:themeColor="text1"/>
          <w:szCs w:val="32"/>
        </w:rPr>
        <w:t>单位</w:t>
      </w:r>
      <w:r>
        <w:rPr>
          <w:rStyle w:val="21"/>
          <w:rFonts w:hint="default" w:ascii="仿宋_GB2312" w:cs="宋体"/>
          <w:color w:val="000000" w:themeColor="text1"/>
          <w:szCs w:val="32"/>
        </w:rPr>
        <w:t>未按照绿色专篇关于绿色建筑等级及相关要求开展设计、施工、监理活动的，由市、区住房建设主管部门责令限期改正，逾期未改正的，处十万元以上五十万元以下罚款；情节严重的，依法责令停业整顿，并可以报</w:t>
      </w:r>
      <w:r>
        <w:rPr>
          <w:rStyle w:val="21"/>
          <w:rFonts w:ascii="仿宋_GB2312" w:cs="宋体"/>
          <w:color w:val="000000" w:themeColor="text1"/>
          <w:szCs w:val="32"/>
        </w:rPr>
        <w:t>颁发资质证书的</w:t>
      </w:r>
      <w:r>
        <w:rPr>
          <w:rStyle w:val="21"/>
          <w:rFonts w:hint="default" w:ascii="仿宋_GB2312" w:cs="宋体"/>
          <w:color w:val="000000" w:themeColor="text1"/>
          <w:szCs w:val="32"/>
        </w:rPr>
        <w:t>部门批准降低资质等级直至吊销资质证书。</w:t>
      </w:r>
    </w:p>
    <w:p>
      <w:pPr>
        <w:overflowPunct w:val="0"/>
        <w:spacing w:line="560" w:lineRule="exact"/>
        <w:ind w:firstLine="640"/>
        <w:rPr>
          <w:rStyle w:val="21"/>
          <w:rFonts w:hint="default" w:ascii="仿宋_GB2312"/>
          <w:color w:val="000000" w:themeColor="text1"/>
          <w:szCs w:val="32"/>
        </w:rPr>
      </w:pPr>
      <w:r>
        <w:rPr>
          <w:rStyle w:val="20"/>
          <w:rFonts w:hint="eastAsia" w:ascii="黑体" w:hAnsi="黑体" w:eastAsia="黑体" w:cs="黑体"/>
          <w:b w:val="0"/>
          <w:color w:val="000000" w:themeColor="text1"/>
          <w:sz w:val="32"/>
          <w:szCs w:val="32"/>
        </w:rPr>
        <w:t>第四十九条</w:t>
      </w:r>
      <w:r>
        <w:rPr>
          <w:rStyle w:val="20"/>
          <w:rFonts w:hint="eastAsia" w:ascii="黑体" w:hAnsi="黑体" w:eastAsia="黑体" w:cs="黑体"/>
          <w:bCs/>
          <w:color w:val="000000" w:themeColor="text1"/>
          <w:sz w:val="32"/>
          <w:szCs w:val="32"/>
        </w:rPr>
        <w:t xml:space="preserve">  </w:t>
      </w:r>
      <w:r>
        <w:rPr>
          <w:rStyle w:val="21"/>
          <w:rFonts w:hint="default" w:ascii="仿宋_GB2312"/>
          <w:color w:val="000000" w:themeColor="text1"/>
          <w:szCs w:val="32"/>
        </w:rPr>
        <w:t>违反本条例第十四条规定，建设单位有下列情形之一的，由市、区住房建设主管部门责令限期改正，并按以下规定予以处罚：</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zCs w:val="32"/>
        </w:rPr>
        <w:t>（一）未按照建设工程规划许可证注明的绿色建筑等级及相关要求进行建设的，处以项目投资额百分之二以上百分之四以下的罚款；</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zCs w:val="32"/>
        </w:rPr>
        <w:t>（二）在进行建设项目咨询、设计、施工、监理的招标或者委托时，未在</w:t>
      </w:r>
      <w:r>
        <w:rPr>
          <w:rFonts w:hint="eastAsia" w:eastAsia="仿宋_GB2312"/>
          <w:color w:val="000000" w:themeColor="text1"/>
          <w:sz w:val="32"/>
          <w:szCs w:val="32"/>
        </w:rPr>
        <w:t>招标文件和</w:t>
      </w:r>
      <w:r>
        <w:rPr>
          <w:rStyle w:val="21"/>
          <w:rFonts w:hint="default" w:ascii="仿宋_GB2312"/>
          <w:color w:val="000000" w:themeColor="text1"/>
          <w:szCs w:val="32"/>
        </w:rPr>
        <w:t>合同中载明建设项目的绿色建筑等级及相关要求，且逾期未改正的，处五十万元以上一百万元以下罚款；</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zCs w:val="32"/>
        </w:rPr>
        <w:t>（三）要求其委托的单位违反绿色建筑标准进行项目设计、施工、监理的，处项目</w:t>
      </w:r>
      <w:r>
        <w:rPr>
          <w:rStyle w:val="21"/>
          <w:rFonts w:hint="default" w:ascii="仿宋_GB2312"/>
          <w:szCs w:val="32"/>
        </w:rPr>
        <w:t>投资额百分之二以上百分之四</w:t>
      </w:r>
      <w:r>
        <w:rPr>
          <w:rStyle w:val="21"/>
          <w:rFonts w:hint="default" w:ascii="仿宋_GB2312"/>
          <w:color w:val="000000" w:themeColor="text1"/>
          <w:szCs w:val="32"/>
        </w:rPr>
        <w:t>以下罚款。</w:t>
      </w:r>
    </w:p>
    <w:p>
      <w:pPr>
        <w:overflowPunct w:val="0"/>
        <w:spacing w:line="560" w:lineRule="exact"/>
        <w:ind w:firstLine="640"/>
        <w:rPr>
          <w:rFonts w:eastAsia="仿宋_GB2312"/>
          <w:sz w:val="32"/>
          <w:szCs w:val="32"/>
        </w:rPr>
      </w:pPr>
      <w:r>
        <w:rPr>
          <w:rStyle w:val="20"/>
          <w:rFonts w:hint="eastAsia" w:ascii="黑体" w:hAnsi="黑体" w:eastAsia="黑体" w:cs="黑体"/>
          <w:b w:val="0"/>
          <w:bCs/>
          <w:color w:val="000000" w:themeColor="text1"/>
          <w:sz w:val="32"/>
          <w:szCs w:val="32"/>
        </w:rPr>
        <w:t xml:space="preserve">第五十条  </w:t>
      </w:r>
      <w:r>
        <w:rPr>
          <w:rStyle w:val="21"/>
          <w:rFonts w:hint="default" w:ascii="仿宋_GB2312"/>
          <w:color w:val="000000" w:themeColor="text1"/>
          <w:szCs w:val="32"/>
        </w:rPr>
        <w:t>违反本条例第十五条规定，</w:t>
      </w:r>
      <w:r>
        <w:rPr>
          <w:rFonts w:hint="eastAsia" w:eastAsia="仿宋_GB2312"/>
          <w:sz w:val="32"/>
          <w:szCs w:val="32"/>
        </w:rPr>
        <w:t>第三方评估机构</w:t>
      </w:r>
      <w:r>
        <w:rPr>
          <w:rFonts w:eastAsia="仿宋_GB2312"/>
          <w:sz w:val="32"/>
          <w:szCs w:val="32"/>
        </w:rPr>
        <w:t>伪造或者出具虚假</w:t>
      </w:r>
      <w:r>
        <w:rPr>
          <w:rFonts w:hint="eastAsia" w:eastAsia="仿宋_GB2312"/>
          <w:sz w:val="32"/>
          <w:szCs w:val="32"/>
        </w:rPr>
        <w:t>评估</w:t>
      </w:r>
      <w:r>
        <w:rPr>
          <w:rFonts w:eastAsia="仿宋_GB2312"/>
          <w:sz w:val="32"/>
          <w:szCs w:val="32"/>
        </w:rPr>
        <w:t>报告的，由</w:t>
      </w:r>
      <w:r>
        <w:rPr>
          <w:rFonts w:hint="eastAsia" w:eastAsia="仿宋_GB2312"/>
          <w:sz w:val="32"/>
          <w:szCs w:val="32"/>
        </w:rPr>
        <w:t>市、区住房建设主管部门责令限期改正，并处十万元以上五十万元以下罚款</w:t>
      </w:r>
      <w:r>
        <w:rPr>
          <w:rFonts w:eastAsia="仿宋_GB2312"/>
          <w:sz w:val="32"/>
          <w:szCs w:val="32"/>
        </w:rPr>
        <w:t>；情节严重的，由负责资质认定的部门取消其</w:t>
      </w:r>
      <w:r>
        <w:rPr>
          <w:rFonts w:hint="eastAsia" w:eastAsia="仿宋_GB2312"/>
          <w:sz w:val="32"/>
          <w:szCs w:val="32"/>
        </w:rPr>
        <w:t>评估</w:t>
      </w:r>
      <w:r>
        <w:rPr>
          <w:rFonts w:eastAsia="仿宋_GB2312"/>
          <w:sz w:val="32"/>
          <w:szCs w:val="32"/>
        </w:rPr>
        <w:t>资格。</w:t>
      </w:r>
    </w:p>
    <w:p>
      <w:pPr>
        <w:overflowPunct w:val="0"/>
        <w:spacing w:line="56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 xml:space="preserve">第五十一条  </w:t>
      </w:r>
      <w:r>
        <w:rPr>
          <w:rStyle w:val="21"/>
          <w:rFonts w:hint="default" w:ascii="仿宋_GB2312"/>
          <w:color w:val="000000" w:themeColor="text1"/>
          <w:szCs w:val="32"/>
        </w:rPr>
        <w:t>违反本条例第十六条规定，建设单位未按要求进行绿色建筑专项验收的，由市、区住房建设主管部门责令限期改正，并处以项目投资额百分之二以上百分之四以下的罚款。</w:t>
      </w:r>
    </w:p>
    <w:p>
      <w:pPr>
        <w:pStyle w:val="2"/>
        <w:overflowPunct w:val="0"/>
        <w:spacing w:line="560" w:lineRule="exact"/>
        <w:ind w:firstLine="640" w:firstLineChars="20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第五十二条</w:t>
      </w:r>
      <w:r>
        <w:rPr>
          <w:rStyle w:val="23"/>
          <w:rFonts w:hint="default" w:ascii="仿宋_GB2312"/>
          <w:color w:val="000000" w:themeColor="text1"/>
          <w:sz w:val="32"/>
          <w:szCs w:val="32"/>
        </w:rPr>
        <w:t xml:space="preserve">  </w:t>
      </w:r>
      <w:r>
        <w:rPr>
          <w:rStyle w:val="21"/>
          <w:rFonts w:hint="default" w:ascii="仿宋_GB2312"/>
          <w:color w:val="000000" w:themeColor="text1"/>
          <w:szCs w:val="32"/>
        </w:rPr>
        <w:t>违反本条例第十八条规定，建设单位在建设工程交付或者移交使用时</w:t>
      </w:r>
      <w:r>
        <w:rPr>
          <w:rFonts w:hint="eastAsia"/>
        </w:rPr>
        <w:t>，</w:t>
      </w:r>
      <w:r>
        <w:rPr>
          <w:rStyle w:val="21"/>
          <w:rFonts w:hint="default" w:ascii="仿宋_GB2312"/>
          <w:color w:val="000000" w:themeColor="text1"/>
          <w:szCs w:val="32"/>
        </w:rPr>
        <w:t>未在质量保证书中载明绿色建筑等级及相关指标，明确质量保修范围、期限等质量保修责任和违约责任，或者未在使用说明书中载明绿色建筑相关性能要求、绿色技术措施、设施设备清单和使用说明的，由市、区住房建设主管部门责令限期改正；逾期未改正的，处项目投资额百分之一以上百分之二以下的罚款。</w:t>
      </w:r>
    </w:p>
    <w:p>
      <w:pPr>
        <w:pStyle w:val="2"/>
        <w:overflowPunct w:val="0"/>
        <w:spacing w:after="0" w:line="560" w:lineRule="exact"/>
        <w:ind w:firstLine="640" w:firstLineChars="200"/>
        <w:rPr>
          <w:rStyle w:val="21"/>
          <w:rFonts w:hint="default" w:ascii="仿宋_GB2312"/>
          <w:color w:val="000000" w:themeColor="text1"/>
          <w:szCs w:val="32"/>
        </w:rPr>
      </w:pPr>
      <w:r>
        <w:rPr>
          <w:rStyle w:val="21"/>
          <w:rFonts w:hint="default" w:ascii="黑体" w:hAnsi="黑体" w:eastAsia="黑体" w:cs="黑体"/>
          <w:color w:val="000000" w:themeColor="text1"/>
          <w:szCs w:val="32"/>
        </w:rPr>
        <w:t>第五十三条</w:t>
      </w:r>
      <w:r>
        <w:rPr>
          <w:rStyle w:val="21"/>
          <w:rFonts w:hint="default" w:ascii="仿宋_GB2312"/>
          <w:color w:val="000000" w:themeColor="text1"/>
          <w:szCs w:val="32"/>
        </w:rPr>
        <w:t xml:space="preserve">  违反本条例第十九条规定，</w:t>
      </w:r>
      <w:r>
        <w:rPr>
          <w:rFonts w:hint="eastAsia" w:eastAsia="仿宋_GB2312"/>
          <w:color w:val="000000" w:themeColor="text1"/>
          <w:sz w:val="32"/>
          <w:szCs w:val="32"/>
        </w:rPr>
        <w:t>房地产开发企业在</w:t>
      </w:r>
      <w:r>
        <w:rPr>
          <w:rStyle w:val="21"/>
          <w:rFonts w:hint="default" w:ascii="仿宋_GB2312"/>
          <w:color w:val="000000" w:themeColor="text1"/>
          <w:szCs w:val="32"/>
        </w:rPr>
        <w:t>销售房屋时有下列情形之一的，由市、区住房建设主管部门责令限期改正；逾期未改正的，按照以下规定给予处罚：</w:t>
      </w:r>
    </w:p>
    <w:p>
      <w:pPr>
        <w:pStyle w:val="2"/>
        <w:numPr>
          <w:ilvl w:val="0"/>
          <w:numId w:val="2"/>
        </w:numPr>
        <w:overflowPunct w:val="0"/>
        <w:spacing w:after="0" w:line="560" w:lineRule="exact"/>
        <w:ind w:firstLine="640" w:firstLineChars="200"/>
        <w:rPr>
          <w:rStyle w:val="21"/>
          <w:rFonts w:hint="default" w:ascii="仿宋_GB2312"/>
          <w:color w:val="000000" w:themeColor="text1"/>
          <w:szCs w:val="32"/>
        </w:rPr>
      </w:pPr>
      <w:r>
        <w:rPr>
          <w:rFonts w:hint="eastAsia" w:eastAsia="仿宋_GB2312"/>
          <w:sz w:val="32"/>
          <w:szCs w:val="32"/>
        </w:rPr>
        <w:t>未在销售现场明示绿色建筑等级及相关性能指标的，</w:t>
      </w:r>
      <w:r>
        <w:rPr>
          <w:rStyle w:val="21"/>
          <w:rFonts w:hint="default" w:ascii="仿宋_GB2312"/>
          <w:szCs w:val="32"/>
        </w:rPr>
        <w:t>处二十万元以上五十万元以下罚款；</w:t>
      </w:r>
    </w:p>
    <w:p>
      <w:pPr>
        <w:pStyle w:val="2"/>
        <w:numPr>
          <w:ilvl w:val="0"/>
          <w:numId w:val="2"/>
        </w:numPr>
        <w:overflowPunct w:val="0"/>
        <w:spacing w:after="0" w:line="560" w:lineRule="exact"/>
        <w:ind w:firstLine="640" w:firstLineChars="200"/>
        <w:rPr>
          <w:rStyle w:val="21"/>
          <w:rFonts w:hint="default" w:ascii="仿宋_GB2312"/>
          <w:color w:val="000000" w:themeColor="text1"/>
          <w:szCs w:val="32"/>
        </w:rPr>
      </w:pPr>
      <w:r>
        <w:rPr>
          <w:rStyle w:val="21"/>
          <w:rFonts w:hint="default" w:ascii="仿宋_GB2312"/>
          <w:color w:val="000000" w:themeColor="text1"/>
          <w:szCs w:val="32"/>
        </w:rPr>
        <w:t>未在房屋销售合同中载明绿色建筑等级及相关性能指标的，处房屋销售额百分之一以上百分之二以下的罚款。</w:t>
      </w:r>
    </w:p>
    <w:p>
      <w:pPr>
        <w:numPr>
          <w:ilvl w:val="255"/>
          <w:numId w:val="0"/>
        </w:numPr>
        <w:overflowPunct w:val="0"/>
        <w:spacing w:line="560" w:lineRule="exact"/>
        <w:ind w:firstLine="640" w:firstLineChars="200"/>
        <w:rPr>
          <w:rStyle w:val="21"/>
          <w:rFonts w:hint="default" w:ascii="仿宋_GB2312"/>
          <w:color w:val="000000" w:themeColor="text1"/>
          <w:szCs w:val="32"/>
        </w:rPr>
      </w:pPr>
      <w:r>
        <w:rPr>
          <w:rStyle w:val="27"/>
          <w:rFonts w:hint="default" w:ascii="黑体" w:hAnsi="黑体" w:eastAsia="黑体" w:cs="黑体"/>
          <w:bCs/>
          <w:color w:val="000000" w:themeColor="text1"/>
          <w:sz w:val="32"/>
          <w:szCs w:val="32"/>
        </w:rPr>
        <w:t>第五十四条</w:t>
      </w:r>
      <w:r>
        <w:rPr>
          <w:rStyle w:val="23"/>
          <w:rFonts w:hint="default" w:ascii="仿宋_GB2312"/>
          <w:color w:val="000000" w:themeColor="text1"/>
          <w:sz w:val="32"/>
          <w:szCs w:val="32"/>
        </w:rPr>
        <w:t xml:space="preserve">  </w:t>
      </w:r>
      <w:r>
        <w:rPr>
          <w:rStyle w:val="21"/>
          <w:rFonts w:hint="default" w:ascii="仿宋_GB2312"/>
          <w:color w:val="000000" w:themeColor="text1"/>
          <w:szCs w:val="32"/>
        </w:rPr>
        <w:t>违反本条例第二十一条规定，建筑物所有权人、使用人、相关专营单位或者受委托的物业服务企业</w:t>
      </w:r>
      <w:r>
        <w:rPr>
          <w:rFonts w:hint="eastAsia" w:eastAsia="仿宋_GB2312"/>
          <w:color w:val="000000" w:themeColor="text1"/>
          <w:sz w:val="32"/>
          <w:szCs w:val="32"/>
        </w:rPr>
        <w:t>或者专业服务单位</w:t>
      </w:r>
      <w:r>
        <w:rPr>
          <w:rStyle w:val="21"/>
          <w:rFonts w:hint="default" w:ascii="仿宋_GB2312"/>
          <w:color w:val="000000" w:themeColor="text1"/>
          <w:szCs w:val="32"/>
        </w:rPr>
        <w:t>未对建筑物节能、节水、计量等设施设备尽到调适、评估、维护和保养责任的，由市、区住房建设主管部门责令限期改正，逾期未改正的，处五万元以上十万元以下罚款。</w:t>
      </w:r>
    </w:p>
    <w:p>
      <w:pPr>
        <w:overflowPunct w:val="0"/>
        <w:spacing w:line="56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第五十五条</w:t>
      </w:r>
      <w:r>
        <w:rPr>
          <w:rStyle w:val="20"/>
          <w:rFonts w:hint="eastAsia" w:eastAsia="黑体"/>
          <w:color w:val="000000" w:themeColor="text1"/>
          <w:sz w:val="32"/>
          <w:szCs w:val="32"/>
        </w:rPr>
        <w:t xml:space="preserve">  </w:t>
      </w:r>
      <w:r>
        <w:rPr>
          <w:rStyle w:val="21"/>
          <w:rFonts w:hint="default" w:ascii="仿宋_GB2312"/>
          <w:color w:val="000000" w:themeColor="text1"/>
          <w:szCs w:val="32"/>
        </w:rPr>
        <w:t>违反本条例第二十七条规定，大型公共建筑、国家机关办公建筑</w:t>
      </w:r>
      <w:r>
        <w:rPr>
          <w:rFonts w:hint="eastAsia" w:eastAsia="仿宋_GB2312"/>
          <w:color w:val="000000" w:themeColor="text1"/>
          <w:sz w:val="32"/>
          <w:szCs w:val="32"/>
        </w:rPr>
        <w:t>和财政性资金参与投资建设的其他公共建筑</w:t>
      </w:r>
      <w:r>
        <w:rPr>
          <w:rStyle w:val="21"/>
          <w:rFonts w:hint="default" w:ascii="仿宋_GB2312"/>
          <w:color w:val="000000" w:themeColor="text1"/>
          <w:szCs w:val="32"/>
        </w:rPr>
        <w:t>未安装用电等能耗分项计量装置和建筑能耗实时监测设备或者相关设备未正常运行的，由市、区住房建设主管部门责令限期改正，逾期未改正的，处十万元以上三十万元以下罚款，并给予通报批评。</w:t>
      </w:r>
    </w:p>
    <w:p>
      <w:pPr>
        <w:overflowPunct w:val="0"/>
        <w:spacing w:line="560" w:lineRule="exact"/>
        <w:ind w:firstLine="640"/>
        <w:rPr>
          <w:rFonts w:eastAsia="仿宋_GB2312"/>
          <w:color w:val="000000" w:themeColor="text1"/>
          <w:sz w:val="32"/>
          <w:szCs w:val="32"/>
        </w:rPr>
      </w:pPr>
      <w:r>
        <w:rPr>
          <w:rStyle w:val="20"/>
          <w:rFonts w:ascii="黑体" w:hAnsi="黑体" w:eastAsia="黑体" w:cs="黑体"/>
          <w:b w:val="0"/>
          <w:bCs/>
          <w:color w:val="000000" w:themeColor="text1"/>
          <w:sz w:val="32"/>
          <w:szCs w:val="32"/>
        </w:rPr>
        <w:t>第</w:t>
      </w:r>
      <w:r>
        <w:rPr>
          <w:rStyle w:val="20"/>
          <w:rFonts w:hint="eastAsia" w:ascii="黑体" w:hAnsi="黑体" w:eastAsia="黑体" w:cs="黑体"/>
          <w:b w:val="0"/>
          <w:bCs/>
          <w:color w:val="000000" w:themeColor="text1"/>
          <w:sz w:val="32"/>
          <w:szCs w:val="32"/>
        </w:rPr>
        <w:t>五十六</w:t>
      </w:r>
      <w:r>
        <w:rPr>
          <w:rStyle w:val="20"/>
          <w:rFonts w:ascii="黑体" w:hAnsi="黑体" w:eastAsia="黑体" w:cs="黑体"/>
          <w:b w:val="0"/>
          <w:bCs/>
          <w:color w:val="000000" w:themeColor="text1"/>
          <w:sz w:val="32"/>
          <w:szCs w:val="32"/>
        </w:rPr>
        <w:t>条</w:t>
      </w:r>
      <w:r>
        <w:rPr>
          <w:rStyle w:val="21"/>
          <w:rFonts w:hint="default" w:ascii="仿宋_GB2312"/>
          <w:color w:val="000000" w:themeColor="text1"/>
          <w:szCs w:val="32"/>
        </w:rPr>
        <w:t xml:space="preserve">  违反本条例第二十八条规定，建设单位未按照有关规定实行房屋拆除、建筑废弃物综合利用及清运一体化管理的，由区住房建设主管部门责令限期改正，并按拆除部分建筑面积每平方米处二千元罚款。</w:t>
      </w:r>
    </w:p>
    <w:p>
      <w:pPr>
        <w:pStyle w:val="2"/>
        <w:overflowPunct w:val="0"/>
        <w:spacing w:after="0" w:line="560" w:lineRule="exact"/>
        <w:ind w:firstLine="640" w:firstLineChars="20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第五十七条</w:t>
      </w:r>
      <w:r>
        <w:rPr>
          <w:rStyle w:val="20"/>
          <w:rFonts w:ascii="黑体" w:hAnsi="黑体" w:eastAsia="黑体" w:cs="黑体"/>
          <w:color w:val="000000" w:themeColor="text1"/>
          <w:sz w:val="32"/>
          <w:szCs w:val="32"/>
        </w:rPr>
        <w:t xml:space="preserve">  </w:t>
      </w:r>
      <w:r>
        <w:rPr>
          <w:rStyle w:val="21"/>
          <w:rFonts w:hint="default" w:ascii="仿宋_GB2312"/>
          <w:color w:val="000000" w:themeColor="text1"/>
          <w:szCs w:val="32"/>
        </w:rPr>
        <w:t>违反本条例第三十二条规定，</w:t>
      </w:r>
      <w:r>
        <w:rPr>
          <w:rStyle w:val="21"/>
          <w:rFonts w:ascii="仿宋_GB2312"/>
          <w:color w:val="000000" w:themeColor="text1"/>
          <w:szCs w:val="32"/>
        </w:rPr>
        <w:t>既有</w:t>
      </w:r>
      <w:r>
        <w:rPr>
          <w:rStyle w:val="21"/>
          <w:rFonts w:hint="default" w:ascii="仿宋_GB2312"/>
          <w:color w:val="000000" w:themeColor="text1"/>
          <w:szCs w:val="32"/>
        </w:rPr>
        <w:t>大型公共建筑、国家机关办公建筑和财政性资金参与投资建设的其他公共建筑的建筑物所有权人或者使用权人有下列情形之一的，由市、区住房建设主管部门责令限期改正；逾期未改正的，按照以下规定给予处罚：</w:t>
      </w:r>
    </w:p>
    <w:p>
      <w:pPr>
        <w:pStyle w:val="2"/>
        <w:overflowPunct w:val="0"/>
        <w:spacing w:after="0" w:line="560" w:lineRule="exact"/>
        <w:ind w:firstLine="640" w:firstLineChars="200"/>
        <w:rPr>
          <w:rFonts w:eastAsia="仿宋_GB2312"/>
          <w:color w:val="000000" w:themeColor="text1"/>
          <w:sz w:val="32"/>
          <w:szCs w:val="32"/>
        </w:rPr>
      </w:pPr>
      <w:r>
        <w:rPr>
          <w:rStyle w:val="21"/>
          <w:rFonts w:hint="default" w:ascii="仿宋_GB2312"/>
          <w:color w:val="000000" w:themeColor="text1"/>
          <w:szCs w:val="32"/>
        </w:rPr>
        <w:t>（一）用能指标超过</w:t>
      </w:r>
      <w:r>
        <w:rPr>
          <w:rFonts w:hint="eastAsia" w:ascii="仿宋_GB2312" w:hAnsi="仿宋_GB2312" w:eastAsia="仿宋_GB2312" w:cs="仿宋_GB2312"/>
          <w:color w:val="000000" w:themeColor="text1"/>
          <w:sz w:val="32"/>
          <w:szCs w:val="32"/>
        </w:rPr>
        <w:t>建筑能耗</w:t>
      </w:r>
      <w:r>
        <w:rPr>
          <w:rFonts w:hint="eastAsia" w:ascii="仿宋_GB2312" w:hAnsi="仿宋_GB2312" w:eastAsia="仿宋_GB2312" w:cs="仿宋_GB2312"/>
          <w:color w:val="000000" w:themeColor="text1"/>
          <w:spacing w:val="-6"/>
          <w:sz w:val="32"/>
          <w:szCs w:val="32"/>
        </w:rPr>
        <w:t>标准约束值，</w:t>
      </w:r>
      <w:r>
        <w:rPr>
          <w:rStyle w:val="21"/>
          <w:rFonts w:hint="default" w:ascii="仿宋_GB2312"/>
          <w:color w:val="000000" w:themeColor="text1"/>
          <w:szCs w:val="32"/>
        </w:rPr>
        <w:t>未按照要求开展能源审计并采取措施降低能耗的，处十万元以上三十万元以下罚款；</w:t>
      </w:r>
    </w:p>
    <w:p>
      <w:pPr>
        <w:pStyle w:val="2"/>
        <w:overflowPunct w:val="0"/>
        <w:spacing w:after="0" w:line="560" w:lineRule="exact"/>
        <w:ind w:firstLine="616" w:firstLineChars="200"/>
        <w:rPr>
          <w:rFonts w:eastAsia="仿宋_GB2312"/>
          <w:color w:val="000000" w:themeColor="text1"/>
          <w:sz w:val="32"/>
          <w:szCs w:val="32"/>
        </w:rPr>
      </w:pPr>
      <w:r>
        <w:rPr>
          <w:rStyle w:val="21"/>
          <w:rFonts w:hint="default" w:ascii="仿宋_GB2312"/>
          <w:spacing w:val="-6"/>
          <w:szCs w:val="32"/>
        </w:rPr>
        <w:t>（二）连续两年建筑用能指标超过</w:t>
      </w:r>
      <w:r>
        <w:rPr>
          <w:rFonts w:hint="eastAsia" w:ascii="仿宋_GB2312" w:hAnsi="仿宋_GB2312" w:eastAsia="仿宋_GB2312" w:cs="仿宋_GB2312"/>
          <w:spacing w:val="-6"/>
          <w:sz w:val="32"/>
          <w:szCs w:val="32"/>
        </w:rPr>
        <w:t>建筑能耗标准约束值</w:t>
      </w:r>
      <w:r>
        <w:rPr>
          <w:rStyle w:val="21"/>
          <w:rFonts w:hint="default" w:ascii="仿宋_GB2312"/>
          <w:spacing w:val="-6"/>
          <w:szCs w:val="32"/>
        </w:rPr>
        <w:t>百分之五十以上，</w:t>
      </w:r>
      <w:r>
        <w:rPr>
          <w:rFonts w:hint="eastAsia" w:eastAsia="仿宋_GB2312"/>
          <w:sz w:val="32"/>
          <w:szCs w:val="32"/>
        </w:rPr>
        <w:t>未按要求实施节能改造的，</w:t>
      </w:r>
      <w:r>
        <w:rPr>
          <w:rStyle w:val="21"/>
          <w:rFonts w:hint="default" w:ascii="仿宋_GB2312"/>
          <w:szCs w:val="32"/>
        </w:rPr>
        <w:t>处五十万元以上一百万元以下罚款。</w:t>
      </w:r>
    </w:p>
    <w:p>
      <w:pPr>
        <w:overflowPunct w:val="0"/>
        <w:spacing w:line="560" w:lineRule="exact"/>
        <w:ind w:firstLine="640"/>
        <w:rPr>
          <w:rFonts w:eastAsia="仿宋_GB2312"/>
          <w:color w:val="000000" w:themeColor="text1"/>
          <w:sz w:val="32"/>
          <w:szCs w:val="32"/>
        </w:rPr>
      </w:pPr>
      <w:r>
        <w:rPr>
          <w:rStyle w:val="20"/>
          <w:rFonts w:hint="eastAsia" w:ascii="黑体" w:hAnsi="黑体" w:eastAsia="黑体" w:cs="黑体"/>
          <w:b w:val="0"/>
          <w:bCs/>
          <w:color w:val="000000" w:themeColor="text1"/>
          <w:sz w:val="32"/>
          <w:szCs w:val="32"/>
        </w:rPr>
        <w:t>第五十八条</w:t>
      </w:r>
      <w:r>
        <w:rPr>
          <w:rStyle w:val="23"/>
          <w:rFonts w:hint="default" w:ascii="仿宋_GB2312"/>
          <w:color w:val="000000" w:themeColor="text1"/>
          <w:sz w:val="32"/>
          <w:szCs w:val="32"/>
        </w:rPr>
        <w:t xml:space="preserve">  </w:t>
      </w:r>
      <w:r>
        <w:rPr>
          <w:rStyle w:val="21"/>
          <w:rFonts w:hint="default" w:ascii="仿宋_GB2312"/>
          <w:color w:val="000000" w:themeColor="text1"/>
          <w:szCs w:val="32"/>
        </w:rPr>
        <w:t>依照本条例规定给予单位罚款处罚的，对单位直接负责的主管人员或者其他直接责任人员，处单位罚款额百分之一以上百分之五以下的罚款。</w:t>
      </w:r>
    </w:p>
    <w:p>
      <w:pPr>
        <w:overflowPunct w:val="0"/>
        <w:spacing w:line="560" w:lineRule="exact"/>
        <w:ind w:firstLine="64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第五十九条</w:t>
      </w:r>
      <w:r>
        <w:rPr>
          <w:rStyle w:val="23"/>
          <w:rFonts w:hint="default" w:ascii="仿宋_GB2312"/>
          <w:color w:val="000000" w:themeColor="text1"/>
          <w:sz w:val="32"/>
          <w:szCs w:val="32"/>
        </w:rPr>
        <w:t xml:space="preserve">  </w:t>
      </w:r>
      <w:r>
        <w:rPr>
          <w:rStyle w:val="21"/>
          <w:rFonts w:hint="default" w:ascii="仿宋_GB2312"/>
          <w:color w:val="000000" w:themeColor="text1"/>
          <w:szCs w:val="32"/>
        </w:rPr>
        <w:t>依照本条例规定受到处罚的单位和个人，市、区住房建设主管部门应当将其处罚情况作为不良行为予以记录，并向社会公示。</w:t>
      </w:r>
    </w:p>
    <w:p>
      <w:pPr>
        <w:overflowPunct w:val="0"/>
        <w:spacing w:line="560" w:lineRule="exact"/>
        <w:ind w:firstLine="640"/>
        <w:rPr>
          <w:rFonts w:eastAsia="仿宋_GB2312"/>
          <w:color w:val="000000" w:themeColor="text1"/>
          <w:sz w:val="32"/>
          <w:szCs w:val="32"/>
        </w:rPr>
      </w:pPr>
      <w:r>
        <w:rPr>
          <w:rStyle w:val="21"/>
          <w:rFonts w:hint="default" w:ascii="黑体" w:hAnsi="黑体" w:eastAsia="黑体" w:cs="黑体"/>
          <w:color w:val="000000" w:themeColor="text1"/>
          <w:szCs w:val="32"/>
        </w:rPr>
        <w:t>第</w:t>
      </w:r>
      <w:r>
        <w:rPr>
          <w:rStyle w:val="20"/>
          <w:rFonts w:hint="eastAsia" w:ascii="黑体" w:hAnsi="黑体" w:eastAsia="黑体" w:cs="黑体"/>
          <w:b w:val="0"/>
          <w:bCs/>
          <w:color w:val="000000" w:themeColor="text1"/>
          <w:sz w:val="32"/>
          <w:szCs w:val="32"/>
        </w:rPr>
        <w:t>六十</w:t>
      </w:r>
      <w:r>
        <w:rPr>
          <w:rStyle w:val="21"/>
          <w:rFonts w:hint="default" w:ascii="黑体" w:hAnsi="黑体" w:eastAsia="黑体" w:cs="黑体"/>
          <w:color w:val="000000" w:themeColor="text1"/>
          <w:szCs w:val="32"/>
        </w:rPr>
        <w:t>条</w:t>
      </w:r>
      <w:r>
        <w:rPr>
          <w:rStyle w:val="21"/>
          <w:rFonts w:hint="default" w:ascii="仿宋_GB2312" w:eastAsia="黑体"/>
          <w:color w:val="000000" w:themeColor="text1"/>
          <w:szCs w:val="32"/>
        </w:rPr>
        <w:t xml:space="preserve">  </w:t>
      </w:r>
      <w:r>
        <w:rPr>
          <w:rStyle w:val="21"/>
          <w:rFonts w:hint="default" w:ascii="仿宋_GB2312"/>
          <w:color w:val="000000" w:themeColor="text1"/>
          <w:szCs w:val="32"/>
        </w:rPr>
        <w:t>市、区住房建设主管部门应当建立诚信档案，记录相关主体的诚信信息，将遵守绿色建筑发展法律、法规，承担绿色发展社会责任等情况载入诚信档案，并向社会公开。</w:t>
      </w:r>
    </w:p>
    <w:p>
      <w:pPr>
        <w:overflowPunct w:val="0"/>
        <w:spacing w:line="560" w:lineRule="exact"/>
        <w:ind w:firstLine="640"/>
        <w:rPr>
          <w:rStyle w:val="21"/>
          <w:rFonts w:hint="default" w:ascii="仿宋_GB2312"/>
          <w:color w:val="000000" w:themeColor="text1"/>
          <w:szCs w:val="32"/>
        </w:rPr>
      </w:pPr>
      <w:r>
        <w:rPr>
          <w:rStyle w:val="21"/>
          <w:rFonts w:hint="default" w:ascii="仿宋_GB2312"/>
          <w:color w:val="000000" w:themeColor="text1"/>
          <w:szCs w:val="32"/>
        </w:rPr>
        <w:t>相关主体的诚信信息纳入本市建筑市场主体信用管理系统，按照市住房建设主管部门有关建筑市场主体信用相关规定实施信用评价、使用和监督管理。</w:t>
      </w:r>
    </w:p>
    <w:p>
      <w:pPr>
        <w:pStyle w:val="2"/>
        <w:overflowPunct w:val="0"/>
        <w:spacing w:after="0" w:line="560" w:lineRule="exact"/>
        <w:ind w:firstLine="640" w:firstLineChars="200"/>
        <w:rPr>
          <w:rFonts w:ascii="仿宋_GB2312" w:eastAsia="仿宋_GB2312"/>
          <w:color w:val="000000" w:themeColor="text1"/>
          <w:kern w:val="0"/>
          <w:sz w:val="32"/>
          <w:szCs w:val="32"/>
        </w:rPr>
      </w:pPr>
      <w:r>
        <w:rPr>
          <w:rFonts w:hint="eastAsia" w:ascii="黑体" w:hAnsi="黑体" w:eastAsia="黑体" w:cs="黑体"/>
          <w:color w:val="000000" w:themeColor="text1"/>
          <w:kern w:val="0"/>
          <w:sz w:val="32"/>
          <w:szCs w:val="32"/>
        </w:rPr>
        <w:t>第六十一条</w:t>
      </w:r>
      <w:r>
        <w:rPr>
          <w:rFonts w:ascii="黑体" w:hAnsi="黑体" w:eastAsia="黑体" w:cs="黑体"/>
          <w:color w:val="000000" w:themeColor="text1"/>
          <w:kern w:val="0"/>
          <w:sz w:val="32"/>
          <w:szCs w:val="32"/>
        </w:rPr>
        <w:t xml:space="preserve"> </w:t>
      </w:r>
      <w:r>
        <w:rPr>
          <w:rFonts w:hint="eastAsia" w:ascii="黑体" w:hAnsi="黑体" w:eastAsia="黑体" w:cs="黑体"/>
          <w:color w:val="000000" w:themeColor="text1"/>
          <w:kern w:val="0"/>
          <w:sz w:val="32"/>
          <w:szCs w:val="32"/>
        </w:rPr>
        <w:t xml:space="preserve"> </w:t>
      </w:r>
      <w:r>
        <w:rPr>
          <w:rFonts w:hint="eastAsia" w:ascii="仿宋_GB2312" w:eastAsia="仿宋_GB2312"/>
          <w:color w:val="000000" w:themeColor="text1"/>
          <w:kern w:val="0"/>
          <w:sz w:val="32"/>
          <w:szCs w:val="32"/>
        </w:rPr>
        <w:t>相关部门及其工作人员在绿色建筑监督管理工作中不履行职责或者不正确履行职责的，对直接负责的主管人员和其他直接责任人员依法给予处分</w:t>
      </w:r>
      <w:r>
        <w:rPr>
          <w:rFonts w:ascii="仿宋_GB2312" w:eastAsia="仿宋_GB2312"/>
          <w:color w:val="000000" w:themeColor="text1"/>
          <w:kern w:val="0"/>
          <w:sz w:val="32"/>
          <w:szCs w:val="32"/>
        </w:rPr>
        <w:t>;</w:t>
      </w:r>
      <w:r>
        <w:rPr>
          <w:rFonts w:hint="eastAsia" w:ascii="仿宋_GB2312" w:eastAsia="仿宋_GB2312"/>
          <w:color w:val="000000" w:themeColor="text1"/>
          <w:kern w:val="0"/>
          <w:sz w:val="32"/>
          <w:szCs w:val="32"/>
        </w:rPr>
        <w:t>构成犯罪的，依法追究刑事责任。</w:t>
      </w:r>
    </w:p>
    <w:p>
      <w:pPr>
        <w:pStyle w:val="2"/>
        <w:overflowPunct w:val="0"/>
        <w:spacing w:after="0" w:line="560" w:lineRule="exact"/>
        <w:ind w:firstLine="640" w:firstLineChars="200"/>
        <w:rPr>
          <w:rFonts w:ascii="仿宋_GB2312" w:eastAsia="仿宋_GB2312"/>
          <w:color w:val="000000" w:themeColor="text1"/>
          <w:kern w:val="0"/>
          <w:sz w:val="32"/>
          <w:szCs w:val="32"/>
        </w:rPr>
      </w:pPr>
    </w:p>
    <w:p>
      <w:pPr>
        <w:overflowPunct w:val="0"/>
        <w:spacing w:line="560" w:lineRule="exact"/>
        <w:jc w:val="center"/>
        <w:rPr>
          <w:rFonts w:ascii="黑体" w:hAnsi="黑体" w:eastAsia="黑体" w:cs="黑体"/>
          <w:bCs/>
          <w:color w:val="000000" w:themeColor="text1"/>
          <w:sz w:val="32"/>
          <w:szCs w:val="32"/>
        </w:rPr>
      </w:pPr>
      <w:r>
        <w:rPr>
          <w:rFonts w:hint="eastAsia" w:ascii="黑体" w:hAnsi="黑体" w:eastAsia="黑体" w:cs="黑体"/>
          <w:bCs/>
          <w:color w:val="000000" w:themeColor="text1"/>
          <w:sz w:val="32"/>
          <w:szCs w:val="32"/>
        </w:rPr>
        <w:t>第七章  附  则</w:t>
      </w:r>
    </w:p>
    <w:p>
      <w:pPr>
        <w:pStyle w:val="2"/>
        <w:overflowPunct w:val="0"/>
        <w:spacing w:after="0" w:line="560" w:lineRule="exact"/>
        <w:rPr>
          <w:rFonts w:eastAsia="仿宋_GB2312"/>
          <w:color w:val="000000" w:themeColor="text1"/>
          <w:sz w:val="32"/>
          <w:szCs w:val="32"/>
        </w:rPr>
      </w:pPr>
    </w:p>
    <w:p>
      <w:pPr>
        <w:overflowPunct w:val="0"/>
        <w:spacing w:line="560" w:lineRule="exact"/>
        <w:ind w:firstLine="640" w:firstLineChars="200"/>
        <w:rPr>
          <w:rStyle w:val="21"/>
          <w:rFonts w:hint="default" w:ascii="仿宋_GB2312"/>
          <w:color w:val="000000" w:themeColor="text1"/>
          <w:szCs w:val="32"/>
        </w:rPr>
      </w:pPr>
      <w:r>
        <w:rPr>
          <w:rStyle w:val="20"/>
          <w:rFonts w:hint="eastAsia" w:ascii="黑体" w:hAnsi="黑体" w:eastAsia="黑体" w:cs="黑体"/>
          <w:b w:val="0"/>
          <w:bCs/>
          <w:color w:val="000000" w:themeColor="text1"/>
          <w:sz w:val="32"/>
          <w:szCs w:val="32"/>
        </w:rPr>
        <w:t>第六十二条</w:t>
      </w:r>
      <w:r>
        <w:rPr>
          <w:rStyle w:val="23"/>
          <w:rFonts w:hint="default" w:ascii="黑体" w:hAnsi="黑体" w:eastAsia="黑体" w:cs="黑体"/>
          <w:b w:val="0"/>
          <w:color w:val="000000" w:themeColor="text1"/>
          <w:sz w:val="32"/>
          <w:szCs w:val="32"/>
        </w:rPr>
        <w:t xml:space="preserve">  </w:t>
      </w:r>
      <w:r>
        <w:rPr>
          <w:rStyle w:val="21"/>
          <w:rFonts w:hint="default" w:ascii="仿宋_GB2312"/>
          <w:color w:val="000000" w:themeColor="text1"/>
          <w:szCs w:val="32"/>
        </w:rPr>
        <w:t>本条例自</w:t>
      </w:r>
      <w:r>
        <w:rPr>
          <w:rStyle w:val="21"/>
          <w:rFonts w:ascii="仿宋_GB2312"/>
          <w:color w:val="000000" w:themeColor="text1"/>
          <w:szCs w:val="32"/>
        </w:rPr>
        <w:t>2022</w:t>
      </w:r>
      <w:r>
        <w:rPr>
          <w:rStyle w:val="21"/>
          <w:rFonts w:hint="default" w:ascii="仿宋_GB2312"/>
          <w:color w:val="000000" w:themeColor="text1"/>
          <w:szCs w:val="32"/>
        </w:rPr>
        <w:t>年</w:t>
      </w:r>
      <w:r>
        <w:rPr>
          <w:rStyle w:val="21"/>
          <w:rFonts w:ascii="仿宋_GB2312"/>
          <w:color w:val="000000" w:themeColor="text1"/>
          <w:szCs w:val="32"/>
        </w:rPr>
        <w:t>7</w:t>
      </w:r>
      <w:r>
        <w:rPr>
          <w:rStyle w:val="21"/>
          <w:rFonts w:hint="default" w:ascii="仿宋_GB2312"/>
          <w:color w:val="000000" w:themeColor="text1"/>
          <w:szCs w:val="32"/>
        </w:rPr>
        <w:t>月</w:t>
      </w:r>
      <w:r>
        <w:rPr>
          <w:rStyle w:val="21"/>
          <w:rFonts w:ascii="仿宋_GB2312"/>
          <w:color w:val="000000" w:themeColor="text1"/>
          <w:szCs w:val="32"/>
        </w:rPr>
        <w:t>1</w:t>
      </w:r>
      <w:r>
        <w:rPr>
          <w:rStyle w:val="21"/>
          <w:rFonts w:hint="default" w:ascii="仿宋_GB2312"/>
          <w:color w:val="000000" w:themeColor="text1"/>
          <w:szCs w:val="32"/>
        </w:rPr>
        <w:t>日起施行，《深圳经济特区建筑节能条例》同时废止。</w:t>
      </w:r>
    </w:p>
    <w:p/>
    <w:sectPr>
      <w:footerReference r:id="rId3" w:type="default"/>
      <w:pgSz w:w="11906" w:h="16838"/>
      <w:pgMar w:top="1814" w:right="1814" w:bottom="1814" w:left="1814"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roman"/>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小标宋简体">
    <w:panose1 w:val="02000000000000000000"/>
    <w:charset w:val="86"/>
    <w:family w:val="auto"/>
    <w:pitch w:val="default"/>
    <w:sig w:usb0="A00002BF" w:usb1="184F6CFA" w:usb2="00000012" w:usb3="00000000" w:csb0="00040001" w:csb1="00000000"/>
  </w:font>
  <w:font w:name="Cambria">
    <w:altName w:val="FreeSerif"/>
    <w:panose1 w:val="02040503050406030204"/>
    <w:charset w:val="00"/>
    <w:family w:val="roman"/>
    <w:pitch w:val="default"/>
    <w:sig w:usb0="00000000" w:usb1="00000000"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微软雅黑">
    <w:altName w:val="黑体"/>
    <w:panose1 w:val="020B0503020204020204"/>
    <w:charset w:val="86"/>
    <w:family w:val="swiss"/>
    <w:pitch w:val="default"/>
    <w:sig w:usb0="00000000" w:usb1="00000000" w:usb2="00000016" w:usb3="00000000" w:csb0="0004001F" w:csb1="00000000"/>
  </w:font>
  <w:font w:name="华文楷体">
    <w:altName w:val="方正楷体_GBK"/>
    <w:panose1 w:val="02010600040101010101"/>
    <w:charset w:val="86"/>
    <w:family w:val="auto"/>
    <w:pitch w:val="default"/>
    <w:sig w:usb0="00000000" w:usb1="00000000" w:usb2="00000000" w:usb3="00000000" w:csb0="0004009F" w:csb1="DFD70000"/>
  </w:font>
  <w:font w:name="楷体_GB2312">
    <w:altName w:val="楷体"/>
    <w:panose1 w:val="00000000000000000000"/>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LinTimes">
    <w:altName w:val="Nimbus Roman No9 L"/>
    <w:panose1 w:val="00000000000000000000"/>
    <w:charset w:val="00"/>
    <w:family w:val="auto"/>
    <w:pitch w:val="default"/>
    <w:sig w:usb0="00000000" w:usb1="00000000" w:usb2="00000008" w:usb3="00000000" w:csb0="400001FF" w:csb1="FFFF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FreeSerif">
    <w:panose1 w:val="02020603050405020304"/>
    <w:charset w:val="00"/>
    <w:family w:val="auto"/>
    <w:pitch w:val="default"/>
    <w:sig w:usb0="E59FAFFF" w:usb1="C200FDFF" w:usb2="43501B29" w:usb3="04000043" w:csb0="600101FF" w:csb1="FFFF0000"/>
  </w:font>
  <w:font w:name="方正宋体S-超大字符集(SIP)">
    <w:panose1 w:val="03000509000000000000"/>
    <w:charset w:val="86"/>
    <w:family w:val="auto"/>
    <w:pitch w:val="default"/>
    <w:sig w:usb0="00000003" w:usb1="0A0E0800" w:usb2="00000006" w:usb3="00000000" w:csb0="00040001"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path/>
          <v:fill on="f" focussize="0,0"/>
          <v:stroke on="f" weight="0.5pt" joinstyle="miter"/>
          <v:imagedata o:title=""/>
          <o:lock v:ext="edit"/>
          <v:textbox inset="0mm,0mm,0mm,0mm" style="mso-fit-shape-to-text:t;">
            <w:txbxContent>
              <w:p>
                <w:pPr>
                  <w:pStyle w:val="10"/>
                  <w:rPr>
                    <w:rFonts w:ascii="Times New Roman" w:hAnsi="Times New Roman"/>
                  </w:rP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D1E26"/>
    <w:multiLevelType w:val="singleLevel"/>
    <w:tmpl w:val="A75D1E26"/>
    <w:lvl w:ilvl="0" w:tentative="0">
      <w:start w:val="1"/>
      <w:numFmt w:val="chineseCounting"/>
      <w:suff w:val="nothing"/>
      <w:lvlText w:val="（%1）"/>
      <w:lvlJc w:val="left"/>
      <w:rPr>
        <w:rFonts w:hint="eastAsia"/>
      </w:rPr>
    </w:lvl>
  </w:abstractNum>
  <w:abstractNum w:abstractNumId="1">
    <w:nsid w:val="164331A2"/>
    <w:multiLevelType w:val="singleLevel"/>
    <w:tmpl w:val="164331A2"/>
    <w:lvl w:ilvl="0" w:tentative="0">
      <w:start w:val="2"/>
      <w:numFmt w:val="chineseCounting"/>
      <w:suff w:val="space"/>
      <w:lvlText w:val="第%1章"/>
      <w:lvlJc w:val="left"/>
      <w:pPr>
        <w:ind w:left="2560" w:firstLine="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true"/>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43822FE5"/>
    <w:rsid w:val="000104FB"/>
    <w:rsid w:val="000169D9"/>
    <w:rsid w:val="00023FD6"/>
    <w:rsid w:val="001851FB"/>
    <w:rsid w:val="00191779"/>
    <w:rsid w:val="0020281D"/>
    <w:rsid w:val="00213243"/>
    <w:rsid w:val="002D6D8D"/>
    <w:rsid w:val="00304528"/>
    <w:rsid w:val="00364589"/>
    <w:rsid w:val="00384266"/>
    <w:rsid w:val="004152D6"/>
    <w:rsid w:val="00420D26"/>
    <w:rsid w:val="004371C3"/>
    <w:rsid w:val="004554A5"/>
    <w:rsid w:val="0045774D"/>
    <w:rsid w:val="004603BE"/>
    <w:rsid w:val="004A31E2"/>
    <w:rsid w:val="00523A18"/>
    <w:rsid w:val="00532C19"/>
    <w:rsid w:val="00591C96"/>
    <w:rsid w:val="005B11F8"/>
    <w:rsid w:val="005E6F7F"/>
    <w:rsid w:val="00611253"/>
    <w:rsid w:val="007166B1"/>
    <w:rsid w:val="00761B3A"/>
    <w:rsid w:val="007719B8"/>
    <w:rsid w:val="007C2AD6"/>
    <w:rsid w:val="00826AA4"/>
    <w:rsid w:val="00935D3C"/>
    <w:rsid w:val="009603A7"/>
    <w:rsid w:val="009D7426"/>
    <w:rsid w:val="009F28A8"/>
    <w:rsid w:val="00A44346"/>
    <w:rsid w:val="00A606AB"/>
    <w:rsid w:val="00A715A2"/>
    <w:rsid w:val="00A83359"/>
    <w:rsid w:val="00AF4967"/>
    <w:rsid w:val="00B71F11"/>
    <w:rsid w:val="00B97409"/>
    <w:rsid w:val="00BA7CB6"/>
    <w:rsid w:val="00BB7A79"/>
    <w:rsid w:val="00C0509F"/>
    <w:rsid w:val="00C12D34"/>
    <w:rsid w:val="00C1748F"/>
    <w:rsid w:val="00C66B20"/>
    <w:rsid w:val="00CA032B"/>
    <w:rsid w:val="00CD4B3E"/>
    <w:rsid w:val="00D20194"/>
    <w:rsid w:val="00D24F93"/>
    <w:rsid w:val="00D92434"/>
    <w:rsid w:val="00E73929"/>
    <w:rsid w:val="00F3582B"/>
    <w:rsid w:val="00F5642E"/>
    <w:rsid w:val="00F621FB"/>
    <w:rsid w:val="00F66073"/>
    <w:rsid w:val="00F84F99"/>
    <w:rsid w:val="01FE0E0E"/>
    <w:rsid w:val="02415715"/>
    <w:rsid w:val="029500A6"/>
    <w:rsid w:val="04E32C8C"/>
    <w:rsid w:val="06851D0B"/>
    <w:rsid w:val="07EF22EA"/>
    <w:rsid w:val="08A079BB"/>
    <w:rsid w:val="08DC7B3D"/>
    <w:rsid w:val="0ADD78E9"/>
    <w:rsid w:val="0CC97366"/>
    <w:rsid w:val="0D475EB4"/>
    <w:rsid w:val="0E412964"/>
    <w:rsid w:val="0F827F68"/>
    <w:rsid w:val="0FDD1C74"/>
    <w:rsid w:val="114B5340"/>
    <w:rsid w:val="134F51B4"/>
    <w:rsid w:val="143B17BB"/>
    <w:rsid w:val="14941E96"/>
    <w:rsid w:val="17A06072"/>
    <w:rsid w:val="18F05B8E"/>
    <w:rsid w:val="1D3D243C"/>
    <w:rsid w:val="1E8F4726"/>
    <w:rsid w:val="1F2B3DFE"/>
    <w:rsid w:val="1F8C30BD"/>
    <w:rsid w:val="1FAE3C1C"/>
    <w:rsid w:val="20E33BF5"/>
    <w:rsid w:val="240C13AC"/>
    <w:rsid w:val="24361306"/>
    <w:rsid w:val="253247EE"/>
    <w:rsid w:val="2B0C6E1C"/>
    <w:rsid w:val="2CAD07B7"/>
    <w:rsid w:val="2F6B3900"/>
    <w:rsid w:val="3049303F"/>
    <w:rsid w:val="307F41E2"/>
    <w:rsid w:val="313F7EF3"/>
    <w:rsid w:val="324D2F14"/>
    <w:rsid w:val="342C0A9A"/>
    <w:rsid w:val="355C4DF7"/>
    <w:rsid w:val="37252606"/>
    <w:rsid w:val="386A2D23"/>
    <w:rsid w:val="3DF578D5"/>
    <w:rsid w:val="3F2B5D44"/>
    <w:rsid w:val="3FD75982"/>
    <w:rsid w:val="402022BD"/>
    <w:rsid w:val="40760079"/>
    <w:rsid w:val="420F280F"/>
    <w:rsid w:val="431B3AC4"/>
    <w:rsid w:val="43822FE5"/>
    <w:rsid w:val="448D30DA"/>
    <w:rsid w:val="449D0C3B"/>
    <w:rsid w:val="476A179F"/>
    <w:rsid w:val="47FC4D4F"/>
    <w:rsid w:val="495C0D7B"/>
    <w:rsid w:val="4983565D"/>
    <w:rsid w:val="4D5277E4"/>
    <w:rsid w:val="4D7B52A0"/>
    <w:rsid w:val="4E113D1B"/>
    <w:rsid w:val="4F9C4B2D"/>
    <w:rsid w:val="50785440"/>
    <w:rsid w:val="51350058"/>
    <w:rsid w:val="52BE5925"/>
    <w:rsid w:val="57B03E2B"/>
    <w:rsid w:val="585A60FE"/>
    <w:rsid w:val="58B27626"/>
    <w:rsid w:val="58B55DB7"/>
    <w:rsid w:val="5A4436FE"/>
    <w:rsid w:val="5ACC15DD"/>
    <w:rsid w:val="5BD304C3"/>
    <w:rsid w:val="5BEB67FA"/>
    <w:rsid w:val="5D6E7C19"/>
    <w:rsid w:val="5ED03F2D"/>
    <w:rsid w:val="60931B4A"/>
    <w:rsid w:val="61BE4ABE"/>
    <w:rsid w:val="6330579C"/>
    <w:rsid w:val="643C3DFD"/>
    <w:rsid w:val="674F32CD"/>
    <w:rsid w:val="69A153AC"/>
    <w:rsid w:val="6A9510F3"/>
    <w:rsid w:val="6E0259A1"/>
    <w:rsid w:val="702943EF"/>
    <w:rsid w:val="766050AF"/>
    <w:rsid w:val="76ED1D59"/>
    <w:rsid w:val="77581E41"/>
    <w:rsid w:val="786C6A7F"/>
    <w:rsid w:val="7B5343A1"/>
    <w:rsid w:val="7D863288"/>
    <w:rsid w:val="DFCBE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4">
    <w:name w:val="heading 1"/>
    <w:basedOn w:val="1"/>
    <w:next w:val="1"/>
    <w:qFormat/>
    <w:uiPriority w:val="0"/>
    <w:pPr>
      <w:keepNext/>
      <w:keepLines/>
      <w:spacing w:line="590" w:lineRule="exact"/>
      <w:jc w:val="center"/>
      <w:outlineLvl w:val="0"/>
    </w:pPr>
    <w:rPr>
      <w:rFonts w:eastAsia="方正小标宋简体"/>
      <w:kern w:val="44"/>
      <w:sz w:val="44"/>
      <w:szCs w:val="32"/>
    </w:rPr>
  </w:style>
  <w:style w:type="paragraph" w:styleId="5">
    <w:name w:val="heading 2"/>
    <w:basedOn w:val="1"/>
    <w:next w:val="1"/>
    <w:qFormat/>
    <w:uiPriority w:val="9"/>
    <w:pPr>
      <w:spacing w:before="100" w:beforeAutospacing="1" w:after="100" w:afterAutospacing="1"/>
      <w:ind w:firstLine="640"/>
      <w:outlineLvl w:val="1"/>
    </w:pPr>
    <w:rPr>
      <w:rFonts w:ascii="黑体" w:hAnsi="黑体" w:eastAsia="黑体"/>
    </w:rPr>
  </w:style>
  <w:style w:type="paragraph" w:styleId="6">
    <w:name w:val="heading 3"/>
    <w:basedOn w:val="1"/>
    <w:next w:val="1"/>
    <w:link w:val="27"/>
    <w:qFormat/>
    <w:uiPriority w:val="0"/>
    <w:pPr>
      <w:spacing w:line="572" w:lineRule="exact"/>
      <w:jc w:val="center"/>
      <w:outlineLvl w:val="2"/>
    </w:pPr>
    <w:rPr>
      <w:rFonts w:hint="eastAsia" w:ascii="宋体" w:hAnsi="宋体" w:eastAsia="方正小标宋简体" w:cs="宋体"/>
      <w:kern w:val="0"/>
      <w:sz w:val="44"/>
      <w:szCs w:val="27"/>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2">
    <w:name w:val="Body Text"/>
    <w:basedOn w:val="1"/>
    <w:next w:val="3"/>
    <w:qFormat/>
    <w:uiPriority w:val="99"/>
    <w:pPr>
      <w:spacing w:after="120"/>
    </w:pPr>
  </w:style>
  <w:style w:type="paragraph" w:styleId="3">
    <w:name w:val="Title"/>
    <w:basedOn w:val="1"/>
    <w:next w:val="1"/>
    <w:qFormat/>
    <w:uiPriority w:val="0"/>
    <w:pPr>
      <w:spacing w:before="240" w:after="60"/>
      <w:jc w:val="center"/>
      <w:textAlignment w:val="baseline"/>
    </w:pPr>
    <w:rPr>
      <w:rFonts w:ascii="Cambria" w:hAnsi="Cambria"/>
      <w:b/>
      <w:bCs/>
      <w:sz w:val="32"/>
      <w:szCs w:val="32"/>
    </w:rPr>
  </w:style>
  <w:style w:type="paragraph" w:styleId="7">
    <w:name w:val="Document Map"/>
    <w:basedOn w:val="1"/>
    <w:link w:val="32"/>
    <w:qFormat/>
    <w:uiPriority w:val="0"/>
    <w:rPr>
      <w:rFonts w:ascii="宋体"/>
      <w:sz w:val="18"/>
      <w:szCs w:val="18"/>
    </w:rPr>
  </w:style>
  <w:style w:type="paragraph" w:styleId="8">
    <w:name w:val="annotation text"/>
    <w:basedOn w:val="1"/>
    <w:link w:val="28"/>
    <w:unhideWhenUsed/>
    <w:qFormat/>
    <w:uiPriority w:val="99"/>
    <w:pPr>
      <w:jc w:val="left"/>
    </w:pPr>
  </w:style>
  <w:style w:type="paragraph" w:styleId="9">
    <w:name w:val="Balloon Text"/>
    <w:basedOn w:val="1"/>
    <w:link w:val="31"/>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Normal (Web)"/>
    <w:basedOn w:val="1"/>
    <w:qFormat/>
    <w:uiPriority w:val="0"/>
    <w:pPr>
      <w:spacing w:before="100" w:beforeAutospacing="1" w:after="100" w:afterAutospacing="1"/>
      <w:jc w:val="left"/>
    </w:pPr>
    <w:rPr>
      <w:kern w:val="0"/>
      <w:sz w:val="24"/>
    </w:rPr>
  </w:style>
  <w:style w:type="paragraph" w:styleId="13">
    <w:name w:val="annotation subject"/>
    <w:basedOn w:val="8"/>
    <w:next w:val="8"/>
    <w:link w:val="29"/>
    <w:qFormat/>
    <w:uiPriority w:val="0"/>
    <w:rPr>
      <w:b/>
      <w:bCs/>
    </w:rPr>
  </w:style>
  <w:style w:type="character" w:styleId="16">
    <w:name w:val="Strong"/>
    <w:basedOn w:val="15"/>
    <w:qFormat/>
    <w:uiPriority w:val="0"/>
    <w:rPr>
      <w:b/>
    </w:rPr>
  </w:style>
  <w:style w:type="character" w:styleId="17">
    <w:name w:val="Hyperlink"/>
    <w:unhideWhenUsed/>
    <w:qFormat/>
    <w:uiPriority w:val="99"/>
    <w:rPr>
      <w:color w:val="0000FF"/>
      <w:u w:val="none"/>
    </w:rPr>
  </w:style>
  <w:style w:type="character" w:styleId="18">
    <w:name w:val="annotation reference"/>
    <w:basedOn w:val="15"/>
    <w:semiHidden/>
    <w:unhideWhenUsed/>
    <w:qFormat/>
    <w:uiPriority w:val="99"/>
    <w:rPr>
      <w:sz w:val="21"/>
      <w:szCs w:val="21"/>
    </w:rPr>
  </w:style>
  <w:style w:type="paragraph" w:customStyle="1" w:styleId="19">
    <w:name w:val="正文文本缩进 2 New"/>
    <w:basedOn w:val="1"/>
    <w:qFormat/>
    <w:uiPriority w:val="0"/>
    <w:pPr>
      <w:spacing w:line="560" w:lineRule="exact"/>
      <w:ind w:firstLine="636"/>
    </w:pPr>
    <w:rPr>
      <w:rFonts w:ascii="仿宋_GB2312" w:eastAsia="仿宋_GB2312"/>
      <w:sz w:val="32"/>
      <w:szCs w:val="32"/>
    </w:rPr>
  </w:style>
  <w:style w:type="character" w:customStyle="1" w:styleId="20">
    <w:name w:val="标题 3 Char1"/>
    <w:qFormat/>
    <w:uiPriority w:val="9"/>
    <w:rPr>
      <w:b/>
    </w:rPr>
  </w:style>
  <w:style w:type="character" w:customStyle="1" w:styleId="21">
    <w:name w:val="title1"/>
    <w:qFormat/>
    <w:uiPriority w:val="0"/>
    <w:rPr>
      <w:rFonts w:hint="eastAsia" w:ascii="微软雅黑" w:hAnsi="微软雅黑" w:eastAsia="仿宋_GB2312"/>
      <w:sz w:val="32"/>
      <w:szCs w:val="21"/>
    </w:rPr>
  </w:style>
  <w:style w:type="character" w:customStyle="1" w:styleId="22">
    <w:name w:val="chaptertitle"/>
    <w:qFormat/>
    <w:uiPriority w:val="0"/>
    <w:rPr>
      <w:rFonts w:hint="eastAsia" w:ascii="微软雅黑" w:hAnsi="微软雅黑" w:eastAsia="微软雅黑"/>
      <w:b/>
      <w:bCs/>
      <w:sz w:val="21"/>
      <w:szCs w:val="21"/>
    </w:rPr>
  </w:style>
  <w:style w:type="character" w:customStyle="1" w:styleId="23">
    <w:name w:val="sect2title1"/>
    <w:qFormat/>
    <w:uiPriority w:val="0"/>
    <w:rPr>
      <w:rFonts w:hint="eastAsia" w:ascii="微软雅黑" w:hAnsi="微软雅黑" w:eastAsia="微软雅黑"/>
      <w:b/>
      <w:bCs/>
      <w:sz w:val="21"/>
      <w:szCs w:val="21"/>
    </w:rPr>
  </w:style>
  <w:style w:type="paragraph" w:customStyle="1" w:styleId="24">
    <w:name w:val="注释说明"/>
    <w:basedOn w:val="1"/>
    <w:qFormat/>
    <w:uiPriority w:val="0"/>
    <w:pPr>
      <w:spacing w:before="240" w:after="240"/>
      <w:ind w:firstLine="200" w:firstLineChars="200"/>
    </w:pPr>
    <w:rPr>
      <w:rFonts w:ascii="仿宋_GB2312" w:eastAsia="华文楷体"/>
      <w:sz w:val="28"/>
    </w:rPr>
  </w:style>
  <w:style w:type="paragraph" w:styleId="25">
    <w:name w:val="List Paragraph"/>
    <w:basedOn w:val="1"/>
    <w:qFormat/>
    <w:uiPriority w:val="0"/>
    <w:pPr>
      <w:ind w:firstLine="420" w:firstLineChars="200"/>
    </w:pPr>
  </w:style>
  <w:style w:type="paragraph" w:customStyle="1" w:styleId="26">
    <w:name w:val="列出段落1"/>
    <w:basedOn w:val="1"/>
    <w:qFormat/>
    <w:uiPriority w:val="0"/>
    <w:pPr>
      <w:ind w:firstLine="420" w:firstLineChars="200"/>
    </w:pPr>
  </w:style>
  <w:style w:type="character" w:customStyle="1" w:styleId="27">
    <w:name w:val="标题 3 Char"/>
    <w:link w:val="6"/>
    <w:qFormat/>
    <w:uiPriority w:val="9"/>
    <w:rPr>
      <w:rFonts w:hint="eastAsia" w:ascii="宋体" w:hAnsi="宋体" w:eastAsia="方正小标宋简体" w:cs="宋体"/>
      <w:kern w:val="0"/>
      <w:sz w:val="44"/>
      <w:szCs w:val="27"/>
    </w:rPr>
  </w:style>
  <w:style w:type="character" w:customStyle="1" w:styleId="28">
    <w:name w:val="批注文字 Char"/>
    <w:basedOn w:val="15"/>
    <w:link w:val="8"/>
    <w:qFormat/>
    <w:uiPriority w:val="99"/>
    <w:rPr>
      <w:rFonts w:ascii="Calibri" w:hAnsi="Calibri"/>
      <w:kern w:val="2"/>
      <w:sz w:val="21"/>
      <w:szCs w:val="24"/>
    </w:rPr>
  </w:style>
  <w:style w:type="character" w:customStyle="1" w:styleId="29">
    <w:name w:val="批注主题 Char"/>
    <w:basedOn w:val="28"/>
    <w:link w:val="13"/>
    <w:qFormat/>
    <w:uiPriority w:val="0"/>
  </w:style>
  <w:style w:type="paragraph" w:customStyle="1" w:styleId="30">
    <w:name w:val="修订1"/>
    <w:hidden/>
    <w:unhideWhenUsed/>
    <w:qFormat/>
    <w:uiPriority w:val="99"/>
    <w:rPr>
      <w:rFonts w:ascii="Calibri" w:hAnsi="Calibri" w:eastAsia="宋体" w:cs="Times New Roman"/>
      <w:kern w:val="2"/>
      <w:sz w:val="21"/>
      <w:szCs w:val="24"/>
      <w:lang w:val="en-US" w:eastAsia="zh-CN" w:bidi="ar-SA"/>
    </w:rPr>
  </w:style>
  <w:style w:type="character" w:customStyle="1" w:styleId="31">
    <w:name w:val="批注框文本 Char"/>
    <w:basedOn w:val="15"/>
    <w:link w:val="9"/>
    <w:qFormat/>
    <w:uiPriority w:val="0"/>
    <w:rPr>
      <w:rFonts w:ascii="Calibri" w:hAnsi="Calibri"/>
      <w:kern w:val="2"/>
      <w:sz w:val="18"/>
      <w:szCs w:val="18"/>
    </w:rPr>
  </w:style>
  <w:style w:type="character" w:customStyle="1" w:styleId="32">
    <w:name w:val="文档结构图 Char"/>
    <w:basedOn w:val="15"/>
    <w:link w:val="7"/>
    <w:qFormat/>
    <w:uiPriority w:val="0"/>
    <w:rPr>
      <w:rFonts w:ascii="宋体" w:hAnsi="Calibr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1468</Words>
  <Characters>8368</Characters>
  <Lines>69</Lines>
  <Paragraphs>19</Paragraphs>
  <TotalTime>4</TotalTime>
  <ScaleCrop>false</ScaleCrop>
  <LinksUpToDate>false</LinksUpToDate>
  <CharactersWithSpaces>9817</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2022-03-28T23:18:00Z</dcterms:created>
  <dc:creator>[平件]市七届人大常委会第一次党组会议学习资料--流程信息</dc:creator>
  <cp:lastModifiedBy>luyiling</cp:lastModifiedBy>
  <cp:lastPrinted>2022-02-24T00:56:00Z</cp:lastPrinted>
  <dcterms:modified xsi:type="dcterms:W3CDTF">2022-04-18T08:58:23Z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