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珠海市人民代表大会常务委员会关于修改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《珠海经济特区见义勇为人员奖励</w:t>
      </w:r>
    </w:p>
    <w:p>
      <w:pPr>
        <w:jc w:val="center"/>
      </w:pPr>
      <w:r>
        <w:rPr>
          <w:rFonts w:ascii="宋体" w:hAnsi="宋体" w:eastAsia="宋体"/>
          <w:sz w:val="44"/>
        </w:rPr>
        <w:t>和保障条例》的决定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2023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12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29</w:t>
      </w:r>
      <w:r>
        <w:rPr>
          <w:rFonts w:hint="eastAsia" w:ascii="楷体_GB2312" w:hAnsi="楷体_GB2312" w:eastAsia="楷体_GB2312" w:cs="楷体_GB2312"/>
          <w:sz w:val="32"/>
        </w:rPr>
        <w:t>日珠海市第十届人民代表大会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楷体_GB2312" w:hAnsi="楷体_GB2312" w:eastAsia="楷体_GB2312" w:cs="楷体_GB2312"/>
          <w:sz w:val="32"/>
        </w:rPr>
        <w:t>常务委员会第十九次会议通过）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珠海市第十届人民代表大会常务委员会第十九次会议决定，对《珠海经济特区见义勇为人员奖励和保障条例》作如下修改：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删去第三十四条。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《珠海经济特区见义勇为人员奖励和保障条例》根据本决定作相应修改后，重新公布。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0E902C21"/>
    <w:rsid w:val="11E4354D"/>
    <w:rsid w:val="16DC7373"/>
    <w:rsid w:val="275F394A"/>
    <w:rsid w:val="2B8F74B6"/>
    <w:rsid w:val="344634A2"/>
    <w:rsid w:val="3DE63740"/>
    <w:rsid w:val="481351D2"/>
    <w:rsid w:val="53543565"/>
    <w:rsid w:val="558A062C"/>
    <w:rsid w:val="5B401591"/>
    <w:rsid w:val="622F12CF"/>
    <w:rsid w:val="653E08AD"/>
    <w:rsid w:val="71B9247E"/>
    <w:rsid w:val="784E2D6A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2024-04-23T03:07:26Z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