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90" w:lineRule="exact"/>
        <w:jc w:val="both"/>
        <w:rPr>
          <w:rFonts w:ascii="宋体" w:hAnsi="宋体" w:eastAsia="仿宋_GB2312" w:cs="Arial"/>
          <w:sz w:val="32"/>
          <w:szCs w:val="32"/>
        </w:rPr>
      </w:pPr>
    </w:p>
    <w:p>
      <w:pPr>
        <w:spacing w:beforeLines="0" w:afterLines="0" w:line="590" w:lineRule="exact"/>
        <w:jc w:val="center"/>
        <w:rPr>
          <w:rFonts w:hint="eastAsia" w:ascii="宋体" w:hAnsi="宋体" w:eastAsia="宋体" w:cs="宋体"/>
          <w:sz w:val="44"/>
          <w:szCs w:val="44"/>
        </w:rPr>
      </w:pPr>
      <w:r>
        <w:rPr>
          <w:rFonts w:hint="eastAsia" w:ascii="宋体" w:hAnsi="宋体" w:eastAsia="宋体" w:cs="宋体"/>
          <w:sz w:val="44"/>
          <w:szCs w:val="44"/>
        </w:rPr>
        <w:t>珠海市防治船舶污染水域条例</w:t>
      </w:r>
    </w:p>
    <w:p>
      <w:pPr>
        <w:spacing w:beforeLines="0" w:afterLines="0" w:line="590" w:lineRule="exact"/>
        <w:ind w:firstLine="632" w:firstLineChars="200"/>
        <w:rPr>
          <w:rFonts w:ascii="宋体" w:hAnsi="宋体"/>
          <w:szCs w:val="32"/>
        </w:rPr>
      </w:pPr>
    </w:p>
    <w:p>
      <w:pPr>
        <w:spacing w:beforeLines="0" w:afterLines="0" w:line="590" w:lineRule="exact"/>
        <w:ind w:left="632" w:leftChars="200" w:right="632" w:rightChars="200" w:firstLine="0" w:firstLineChars="0"/>
        <w:rPr>
          <w:rFonts w:hint="eastAsia" w:ascii="宋体" w:hAnsi="宋体" w:eastAsia="方正楷体简体"/>
          <w:sz w:val="32"/>
          <w:szCs w:val="32"/>
        </w:rPr>
      </w:pPr>
      <w:r>
        <w:rPr>
          <w:rFonts w:hint="eastAsia" w:ascii="宋体" w:hAnsi="宋体" w:eastAsia="方正楷体简体"/>
          <w:sz w:val="32"/>
          <w:szCs w:val="32"/>
        </w:rPr>
        <w:t>（</w:t>
      </w:r>
      <w:r>
        <w:rPr>
          <w:rFonts w:hint="eastAsia" w:ascii="宋体" w:hAnsi="宋体" w:eastAsia="宋体" w:cs="宋体"/>
          <w:sz w:val="32"/>
          <w:szCs w:val="32"/>
        </w:rPr>
        <w:t>2001</w:t>
      </w:r>
      <w:r>
        <w:rPr>
          <w:rFonts w:hint="eastAsia" w:ascii="宋体" w:hAnsi="宋体" w:eastAsia="楷体" w:cs="楷体"/>
          <w:sz w:val="32"/>
          <w:szCs w:val="32"/>
        </w:rPr>
        <w:t>年</w:t>
      </w:r>
      <w:r>
        <w:rPr>
          <w:rFonts w:hint="eastAsia" w:ascii="宋体" w:hAnsi="宋体" w:eastAsia="宋体" w:cs="宋体"/>
          <w:sz w:val="32"/>
          <w:szCs w:val="32"/>
        </w:rPr>
        <w:t>5</w:t>
      </w:r>
      <w:r>
        <w:rPr>
          <w:rFonts w:hint="eastAsia" w:ascii="宋体" w:hAnsi="宋体" w:eastAsia="楷体" w:cs="楷体"/>
          <w:sz w:val="32"/>
          <w:szCs w:val="32"/>
        </w:rPr>
        <w:t>月</w:t>
      </w:r>
      <w:r>
        <w:rPr>
          <w:rFonts w:hint="eastAsia" w:ascii="宋体" w:hAnsi="宋体" w:eastAsia="宋体" w:cs="宋体"/>
          <w:sz w:val="32"/>
          <w:szCs w:val="32"/>
        </w:rPr>
        <w:t>24</w:t>
      </w:r>
      <w:r>
        <w:rPr>
          <w:rFonts w:hint="eastAsia" w:ascii="宋体" w:hAnsi="宋体" w:eastAsia="楷体" w:cs="楷体"/>
          <w:sz w:val="32"/>
          <w:szCs w:val="32"/>
        </w:rPr>
        <w:t xml:space="preserve">日珠海市第五届人民代表大会常务委员会第十九次会议通过  </w:t>
      </w:r>
      <w:r>
        <w:rPr>
          <w:rFonts w:hint="eastAsia" w:ascii="宋体" w:hAnsi="宋体" w:eastAsia="宋体" w:cs="宋体"/>
          <w:sz w:val="32"/>
          <w:szCs w:val="32"/>
        </w:rPr>
        <w:t>2001</w:t>
      </w:r>
      <w:r>
        <w:rPr>
          <w:rFonts w:hint="eastAsia" w:ascii="宋体" w:hAnsi="宋体" w:eastAsia="楷体" w:cs="楷体"/>
          <w:sz w:val="32"/>
          <w:szCs w:val="32"/>
        </w:rPr>
        <w:t>年</w:t>
      </w:r>
      <w:r>
        <w:rPr>
          <w:rFonts w:hint="eastAsia" w:ascii="宋体" w:hAnsi="宋体" w:eastAsia="宋体" w:cs="宋体"/>
          <w:sz w:val="32"/>
          <w:szCs w:val="32"/>
        </w:rPr>
        <w:t>7</w:t>
      </w:r>
      <w:r>
        <w:rPr>
          <w:rFonts w:hint="eastAsia" w:ascii="宋体" w:hAnsi="宋体" w:eastAsia="楷体" w:cs="楷体"/>
          <w:sz w:val="32"/>
          <w:szCs w:val="32"/>
        </w:rPr>
        <w:t>月</w:t>
      </w:r>
      <w:r>
        <w:rPr>
          <w:rFonts w:hint="eastAsia" w:ascii="宋体" w:hAnsi="宋体" w:eastAsia="宋体" w:cs="宋体"/>
          <w:sz w:val="32"/>
          <w:szCs w:val="32"/>
        </w:rPr>
        <w:t>27</w:t>
      </w:r>
      <w:r>
        <w:rPr>
          <w:rFonts w:hint="eastAsia" w:ascii="宋体" w:hAnsi="宋体" w:eastAsia="楷体" w:cs="楷体"/>
          <w:sz w:val="32"/>
          <w:szCs w:val="32"/>
        </w:rPr>
        <w:t>日广东省第九届人民代表大会常务委员会第二十七次会议批准  根据</w:t>
      </w:r>
      <w:r>
        <w:rPr>
          <w:rFonts w:hint="eastAsia" w:ascii="宋体" w:hAnsi="宋体" w:eastAsia="宋体" w:cs="宋体"/>
          <w:sz w:val="32"/>
          <w:szCs w:val="32"/>
        </w:rPr>
        <w:t>2018</w:t>
      </w:r>
      <w:r>
        <w:rPr>
          <w:rFonts w:hint="eastAsia" w:ascii="宋体" w:hAnsi="宋体" w:eastAsia="楷体" w:cs="楷体"/>
          <w:sz w:val="32"/>
          <w:szCs w:val="32"/>
        </w:rPr>
        <w:t>年</w:t>
      </w:r>
      <w:r>
        <w:rPr>
          <w:rFonts w:hint="eastAsia" w:ascii="宋体" w:hAnsi="宋体" w:eastAsia="宋体" w:cs="宋体"/>
          <w:sz w:val="32"/>
          <w:szCs w:val="32"/>
        </w:rPr>
        <w:t>9</w:t>
      </w:r>
      <w:r>
        <w:rPr>
          <w:rFonts w:hint="eastAsia" w:ascii="宋体" w:hAnsi="宋体" w:eastAsia="楷体" w:cs="楷体"/>
          <w:sz w:val="32"/>
          <w:szCs w:val="32"/>
        </w:rPr>
        <w:t>月</w:t>
      </w:r>
      <w:r>
        <w:rPr>
          <w:rFonts w:hint="eastAsia" w:ascii="宋体" w:hAnsi="宋体" w:eastAsia="宋体" w:cs="宋体"/>
          <w:sz w:val="32"/>
          <w:szCs w:val="32"/>
        </w:rPr>
        <w:t>27</w:t>
      </w:r>
      <w:r>
        <w:rPr>
          <w:rFonts w:hint="eastAsia" w:ascii="宋体" w:hAnsi="宋体" w:eastAsia="楷体" w:cs="楷体"/>
          <w:sz w:val="32"/>
          <w:szCs w:val="32"/>
        </w:rPr>
        <w:t xml:space="preserve">日珠海市第九届人民代表大会常务委员会第十六次会议通过  </w:t>
      </w:r>
      <w:r>
        <w:rPr>
          <w:rFonts w:hint="eastAsia" w:ascii="宋体" w:hAnsi="宋体" w:eastAsia="宋体" w:cs="宋体"/>
          <w:sz w:val="32"/>
          <w:szCs w:val="32"/>
        </w:rPr>
        <w:t>2019</w:t>
      </w:r>
      <w:r>
        <w:rPr>
          <w:rFonts w:hint="eastAsia" w:ascii="宋体" w:hAnsi="宋体" w:eastAsia="楷体" w:cs="楷体"/>
          <w:sz w:val="32"/>
          <w:szCs w:val="32"/>
        </w:rPr>
        <w:t>年</w:t>
      </w:r>
      <w:r>
        <w:rPr>
          <w:rFonts w:hint="eastAsia" w:ascii="宋体" w:hAnsi="宋体" w:eastAsia="宋体" w:cs="宋体"/>
          <w:sz w:val="32"/>
          <w:szCs w:val="32"/>
        </w:rPr>
        <w:t>1</w:t>
      </w:r>
      <w:r>
        <w:rPr>
          <w:rFonts w:hint="eastAsia" w:ascii="宋体" w:hAnsi="宋体" w:eastAsia="楷体" w:cs="楷体"/>
          <w:sz w:val="32"/>
          <w:szCs w:val="32"/>
        </w:rPr>
        <w:t>月</w:t>
      </w:r>
      <w:r>
        <w:rPr>
          <w:rFonts w:hint="eastAsia" w:ascii="宋体" w:hAnsi="宋体" w:eastAsia="宋体" w:cs="宋体"/>
          <w:sz w:val="32"/>
          <w:szCs w:val="32"/>
        </w:rPr>
        <w:t>16</w:t>
      </w:r>
      <w:r>
        <w:rPr>
          <w:rFonts w:hint="eastAsia" w:ascii="宋体" w:hAnsi="宋体" w:eastAsia="楷体" w:cs="楷体"/>
          <w:sz w:val="32"/>
          <w:szCs w:val="32"/>
        </w:rPr>
        <w:t>日经广东省第十三届人民代表大会常务委员会第九次会议批准的《珠海市人民代表大会常务委员会关于修改〈珠海市排水条例〉等三部地方性法规的决定》修正</w:t>
      </w:r>
      <w:r>
        <w:rPr>
          <w:rFonts w:hint="eastAsia" w:ascii="宋体" w:hAnsi="宋体" w:eastAsia="方正楷体简体"/>
          <w:sz w:val="32"/>
          <w:szCs w:val="32"/>
        </w:rPr>
        <w:t>）</w:t>
      </w:r>
    </w:p>
    <w:p>
      <w:pPr>
        <w:spacing w:beforeLines="0" w:afterLines="0" w:line="590" w:lineRule="exact"/>
        <w:ind w:firstLine="632" w:firstLineChars="200"/>
        <w:rPr>
          <w:rFonts w:hint="eastAsia" w:ascii="宋体" w:hAnsi="宋体" w:eastAsia="楷体_GB2312"/>
          <w:szCs w:val="32"/>
        </w:rPr>
      </w:pPr>
    </w:p>
    <w:p>
      <w:pPr>
        <w:spacing w:beforeLines="0" w:afterLines="0" w:line="590" w:lineRule="exact"/>
        <w:ind w:firstLine="632" w:firstLineChars="200"/>
        <w:jc w:val="center"/>
        <w:rPr>
          <w:rFonts w:hint="eastAsia" w:ascii="宋体" w:hAnsi="宋体" w:eastAsia="楷体_GB2312"/>
          <w:szCs w:val="32"/>
        </w:rPr>
      </w:pPr>
      <w:r>
        <w:rPr>
          <w:rFonts w:hint="eastAsia" w:ascii="宋体" w:hAnsi="宋体" w:eastAsia="楷体_GB2312"/>
          <w:szCs w:val="32"/>
        </w:rPr>
        <w:t>目</w:t>
      </w:r>
      <w:r>
        <w:rPr>
          <w:rFonts w:hint="eastAsia" w:ascii="宋体" w:hAnsi="宋体" w:eastAsia="楷体_GB2312"/>
          <w:szCs w:val="32"/>
          <w:lang w:val="en-US" w:eastAsia="zh-CN"/>
        </w:rPr>
        <w:t xml:space="preserve">  </w:t>
      </w:r>
      <w:r>
        <w:rPr>
          <w:rFonts w:hint="eastAsia" w:ascii="宋体" w:hAnsi="宋体" w:eastAsia="楷体_GB2312"/>
          <w:szCs w:val="32"/>
        </w:rPr>
        <w:t xml:space="preserve">  录</w:t>
      </w:r>
    </w:p>
    <w:p>
      <w:pPr>
        <w:spacing w:beforeLines="0" w:afterLines="0" w:line="590" w:lineRule="exact"/>
        <w:ind w:firstLine="632" w:firstLineChars="200"/>
        <w:jc w:val="center"/>
        <w:rPr>
          <w:rFonts w:hint="eastAsia" w:ascii="宋体" w:hAnsi="宋体" w:eastAsia="楷体_GB2312"/>
          <w:szCs w:val="32"/>
        </w:rPr>
      </w:pPr>
    </w:p>
    <w:p>
      <w:pPr>
        <w:spacing w:beforeLines="0" w:afterLines="0" w:line="590" w:lineRule="exact"/>
        <w:ind w:firstLine="632" w:firstLineChars="200"/>
        <w:rPr>
          <w:rFonts w:hint="eastAsia" w:ascii="宋体" w:hAnsi="宋体" w:eastAsia="楷体_GB2312"/>
          <w:szCs w:val="32"/>
        </w:rPr>
      </w:pPr>
      <w:r>
        <w:rPr>
          <w:rFonts w:hint="eastAsia" w:ascii="宋体" w:hAnsi="宋体" w:eastAsia="楷体_GB2312"/>
          <w:szCs w:val="32"/>
        </w:rPr>
        <w:t>第一章  总则</w:t>
      </w:r>
    </w:p>
    <w:p>
      <w:pPr>
        <w:spacing w:beforeLines="0" w:afterLines="0" w:line="590" w:lineRule="exact"/>
        <w:ind w:firstLine="632" w:firstLineChars="200"/>
        <w:rPr>
          <w:rFonts w:hint="eastAsia" w:ascii="宋体" w:hAnsi="宋体" w:eastAsia="楷体_GB2312"/>
          <w:szCs w:val="32"/>
        </w:rPr>
      </w:pPr>
      <w:r>
        <w:rPr>
          <w:rFonts w:hint="eastAsia" w:ascii="宋体" w:hAnsi="宋体" w:eastAsia="楷体_GB2312"/>
          <w:szCs w:val="32"/>
        </w:rPr>
        <w:t>第二章  安全管理与污染防治</w:t>
      </w:r>
    </w:p>
    <w:p>
      <w:pPr>
        <w:spacing w:beforeLines="0" w:afterLines="0" w:line="590" w:lineRule="exact"/>
        <w:ind w:firstLine="632" w:firstLineChars="200"/>
        <w:rPr>
          <w:rFonts w:hint="eastAsia" w:ascii="宋体" w:hAnsi="宋体" w:eastAsia="楷体_GB2312"/>
          <w:szCs w:val="32"/>
        </w:rPr>
      </w:pPr>
      <w:r>
        <w:rPr>
          <w:rFonts w:hint="eastAsia" w:ascii="宋体" w:hAnsi="宋体" w:eastAsia="楷体_GB2312"/>
          <w:szCs w:val="32"/>
        </w:rPr>
        <w:t>第三章  污染事故应急反应</w:t>
      </w:r>
    </w:p>
    <w:p>
      <w:pPr>
        <w:spacing w:beforeLines="0" w:afterLines="0" w:line="590" w:lineRule="exact"/>
        <w:ind w:firstLine="632" w:firstLineChars="200"/>
        <w:rPr>
          <w:rFonts w:hint="eastAsia" w:ascii="宋体" w:hAnsi="宋体" w:eastAsia="楷体_GB2312"/>
          <w:szCs w:val="32"/>
        </w:rPr>
      </w:pPr>
      <w:r>
        <w:rPr>
          <w:rFonts w:hint="eastAsia" w:ascii="宋体" w:hAnsi="宋体" w:eastAsia="楷体_GB2312"/>
          <w:szCs w:val="32"/>
        </w:rPr>
        <w:t>第四章  法律责任</w:t>
      </w:r>
    </w:p>
    <w:p>
      <w:pPr>
        <w:spacing w:beforeLines="0" w:afterLines="0" w:line="590" w:lineRule="exact"/>
        <w:ind w:firstLine="632" w:firstLineChars="200"/>
        <w:rPr>
          <w:rFonts w:hint="eastAsia" w:ascii="宋体" w:hAnsi="宋体" w:eastAsia="楷体_GB2312"/>
          <w:szCs w:val="32"/>
        </w:rPr>
      </w:pPr>
      <w:r>
        <w:rPr>
          <w:rFonts w:hint="eastAsia" w:ascii="宋体" w:hAnsi="宋体" w:eastAsia="楷体_GB2312"/>
          <w:szCs w:val="32"/>
        </w:rPr>
        <w:t>第五章  附则</w:t>
      </w:r>
    </w:p>
    <w:p>
      <w:pPr>
        <w:spacing w:beforeLines="0" w:afterLines="0" w:line="590" w:lineRule="exact"/>
        <w:ind w:firstLine="632" w:firstLineChars="200"/>
        <w:rPr>
          <w:rFonts w:hint="eastAsia" w:ascii="宋体" w:hAnsi="宋体" w:eastAsia="楷体_GB2312"/>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第一章  总  则</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第一条</w:t>
      </w:r>
      <w:r>
        <w:rPr>
          <w:rFonts w:hint="eastAsia" w:ascii="宋体" w:hAnsi="宋体"/>
          <w:szCs w:val="32"/>
        </w:rPr>
        <w:t xml:space="preserve">  为了防治船舶及有关作业活动污染水域，保护珠海市辖区水域生态环境及资源，保障人体健康，根据《中华人民共和国海洋环境保护法》、《中华人民共和国水污染防治法》等法律和有关法规的规定，结合珠海市实际，制定本条例。</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第二条</w:t>
      </w:r>
      <w:r>
        <w:rPr>
          <w:rFonts w:hint="eastAsia" w:ascii="宋体" w:hAnsi="宋体"/>
          <w:szCs w:val="32"/>
        </w:rPr>
        <w:t xml:space="preserve">  本条例适用于珠海市辖区水域内（以下简称水域）的船舶、码头、水上装卸设施及其所有人、经营人和从事有关作业活动的任何单位和个人。</w:t>
      </w:r>
    </w:p>
    <w:p>
      <w:pPr>
        <w:spacing w:beforeLines="0" w:afterLines="0" w:line="590" w:lineRule="exact"/>
        <w:ind w:firstLine="632" w:firstLineChars="200"/>
        <w:rPr>
          <w:rFonts w:hint="eastAsia" w:ascii="宋体" w:hAnsi="宋体"/>
          <w:szCs w:val="32"/>
        </w:rPr>
      </w:pPr>
      <w:r>
        <w:rPr>
          <w:rFonts w:hint="eastAsia" w:ascii="宋体" w:hAnsi="宋体"/>
          <w:szCs w:val="32"/>
        </w:rPr>
        <w:t>在水域以外发生船舶污染事故，造成水域污染损害的，也适用本条例。</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第三条 </w:t>
      </w:r>
      <w:r>
        <w:rPr>
          <w:rFonts w:hint="eastAsia" w:ascii="宋体" w:hAnsi="宋体"/>
          <w:szCs w:val="32"/>
        </w:rPr>
        <w:t xml:space="preserve"> 珠海海事行政主管部门（以下简称主管部门）负责港区水域内非军事船舶和港区水域外非渔业、非军事船舶污染水域环境的监督管理。</w:t>
      </w:r>
    </w:p>
    <w:p>
      <w:pPr>
        <w:spacing w:beforeLines="0" w:afterLines="0" w:line="590" w:lineRule="exact"/>
        <w:ind w:firstLine="632" w:firstLineChars="200"/>
        <w:rPr>
          <w:rFonts w:hint="eastAsia" w:ascii="宋体" w:hAnsi="宋体"/>
          <w:szCs w:val="32"/>
        </w:rPr>
      </w:pPr>
      <w:r>
        <w:rPr>
          <w:rFonts w:hint="eastAsia" w:ascii="宋体" w:hAnsi="宋体"/>
          <w:szCs w:val="32"/>
        </w:rPr>
        <w:t>环境保护、港口、海洋等行政主管部门应当根据各自职责，做好防治船舶污染水域的监督管理工作。</w:t>
      </w:r>
    </w:p>
    <w:p>
      <w:pPr>
        <w:spacing w:beforeLines="0" w:afterLines="0" w:line="590" w:lineRule="exact"/>
        <w:ind w:firstLine="632" w:firstLineChars="200"/>
        <w:rPr>
          <w:rFonts w:ascii="宋体" w:hAnsi="宋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第二章  安全管理与污染防治</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第四条</w:t>
      </w:r>
      <w:r>
        <w:rPr>
          <w:rFonts w:hint="eastAsia" w:ascii="宋体" w:hAnsi="宋体"/>
          <w:szCs w:val="32"/>
        </w:rPr>
        <w:t xml:space="preserve">  船舶必须遵守水上交通安全法律、法规，防止碰撞、触礁、搁浅、火灾或者爆炸等事故造成水域环境污染。</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第五条</w:t>
      </w:r>
      <w:r>
        <w:rPr>
          <w:rFonts w:hint="eastAsia" w:ascii="宋体" w:hAnsi="宋体"/>
          <w:szCs w:val="32"/>
        </w:rPr>
        <w:t xml:space="preserve">  船舶必须配备符合有关规定的防污设备和器材，保证处于良好待用状态。</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第六条 </w:t>
      </w:r>
      <w:r>
        <w:rPr>
          <w:rFonts w:hint="eastAsia" w:ascii="宋体" w:hAnsi="宋体"/>
          <w:szCs w:val="32"/>
        </w:rPr>
        <w:t xml:space="preserve"> 船舶应当按照有关国际公约和国家法律、法规的规定持有有效的防污证书和文书。</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第七条 </w:t>
      </w:r>
      <w:r>
        <w:rPr>
          <w:rFonts w:hint="eastAsia" w:ascii="宋体" w:hAnsi="宋体"/>
          <w:szCs w:val="32"/>
        </w:rPr>
        <w:t xml:space="preserve"> 船员的任职必须符合国际有关公约和国家有关规定。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第八条</w:t>
      </w:r>
      <w:r>
        <w:rPr>
          <w:rFonts w:hint="eastAsia" w:ascii="宋体" w:hAnsi="宋体"/>
          <w:szCs w:val="32"/>
        </w:rPr>
        <w:t xml:space="preserve">  从事危险货物码头装卸作业的经营人应当对其从业人员进行岗位安全与防污染专业培训，从业人员应当持证上岗。</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第九条</w:t>
      </w:r>
      <w:r>
        <w:rPr>
          <w:rFonts w:hint="eastAsia" w:ascii="宋体" w:hAnsi="宋体"/>
          <w:szCs w:val="32"/>
        </w:rPr>
        <w:t xml:space="preserve">  港口、码头应当设置与其装卸货品和吞吐能力相适应的污染物的接收、处理设施，并使之处于良好待用状态；已建港口、码头尚未设置接收、处理设施的，应当限期建成。</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第十条</w:t>
      </w:r>
      <w:r>
        <w:rPr>
          <w:rFonts w:hint="eastAsia" w:ascii="宋体" w:hAnsi="宋体"/>
          <w:szCs w:val="32"/>
        </w:rPr>
        <w:t xml:space="preserve">  从事危险货物码头装卸作业的经营人应当向港口行政主管部门申请办理危险货物码头作业许可证，取得许可证后，方可从事装卸危险货物作业。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第十一条</w:t>
      </w:r>
      <w:r>
        <w:rPr>
          <w:rFonts w:hint="eastAsia" w:ascii="宋体" w:hAnsi="宋体"/>
          <w:szCs w:val="32"/>
        </w:rPr>
        <w:t xml:space="preserve">  从事散装液体污染危害性货物水上过驳作业的经营人应当向主管部门提出申请，取得许可后，方可从事过驳作业。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第十二条 </w:t>
      </w:r>
      <w:r>
        <w:rPr>
          <w:rFonts w:hint="eastAsia" w:ascii="宋体" w:hAnsi="宋体"/>
          <w:szCs w:val="32"/>
        </w:rPr>
        <w:t xml:space="preserve"> 依法获得船舶油料供受作业资质的经营人，应当向主管部门备案，并在作业前向主管部门报告。</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第十三条</w:t>
      </w:r>
      <w:r>
        <w:rPr>
          <w:rFonts w:hint="eastAsia" w:ascii="宋体" w:hAnsi="宋体"/>
          <w:szCs w:val="32"/>
        </w:rPr>
        <w:t xml:space="preserve">  载运散装油类的船舶应当按规定投保油污责任险或者提供有效的财务信用担保。</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第十四条</w:t>
      </w:r>
      <w:r>
        <w:rPr>
          <w:rFonts w:hint="eastAsia" w:ascii="宋体" w:hAnsi="宋体"/>
          <w:szCs w:val="32"/>
        </w:rPr>
        <w:t xml:space="preserve">  船舶载运危险货物、污染危害性货物必须符合国家有关规则和规定的要求；船舶或者其代理人、货物所有人或者代理人必须按照国家规定向主管部门办理申报手续。</w:t>
      </w:r>
    </w:p>
    <w:p>
      <w:pPr>
        <w:spacing w:beforeLines="0" w:afterLines="0" w:line="590" w:lineRule="exact"/>
        <w:ind w:firstLine="632" w:firstLineChars="200"/>
        <w:rPr>
          <w:rFonts w:hint="eastAsia" w:ascii="宋体" w:hAnsi="宋体"/>
          <w:szCs w:val="32"/>
        </w:rPr>
      </w:pPr>
      <w:r>
        <w:rPr>
          <w:rFonts w:hint="eastAsia" w:ascii="宋体" w:hAnsi="宋体"/>
          <w:szCs w:val="32"/>
        </w:rPr>
        <w:t>载运危险性、污染危害性不明的货物，货物所有人或者代理人应当依据《</w:t>
      </w:r>
      <w:r>
        <w:rPr>
          <w:rFonts w:hint="eastAsia" w:ascii="宋体" w:hAnsi="宋体" w:eastAsia="宋体" w:cs="宋体"/>
          <w:sz w:val="32"/>
          <w:szCs w:val="32"/>
        </w:rPr>
        <w:t>73</w:t>
      </w:r>
      <w:r>
        <w:rPr>
          <w:rFonts w:hint="eastAsia" w:ascii="宋体" w:hAnsi="宋体" w:eastAsia="方正楷体简体"/>
          <w:sz w:val="32"/>
          <w:szCs w:val="32"/>
        </w:rPr>
        <w:t>／</w:t>
      </w:r>
      <w:r>
        <w:rPr>
          <w:rFonts w:hint="eastAsia" w:ascii="宋体" w:hAnsi="宋体" w:eastAsia="宋体" w:cs="宋体"/>
          <w:sz w:val="32"/>
          <w:szCs w:val="32"/>
        </w:rPr>
        <w:t>78</w:t>
      </w:r>
      <w:r>
        <w:rPr>
          <w:rFonts w:hint="eastAsia" w:ascii="宋体" w:hAnsi="宋体"/>
          <w:szCs w:val="32"/>
        </w:rPr>
        <w:t>国际防止船舶造成污染公约》和国家有关规定，委托有关技术机构进行危害性评估，明确货物的危害性质以及有关安全和防治污染要求，方可交付船舶载运。</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第十五条</w:t>
      </w:r>
      <w:r>
        <w:rPr>
          <w:rFonts w:hint="eastAsia" w:ascii="宋体" w:hAnsi="宋体"/>
          <w:szCs w:val="32"/>
        </w:rPr>
        <w:t xml:space="preserve">  从事危险货物装卸作业的经营人，应当在核定的品种、限量和区域内作业；拟临时在核定范围外进行装卸作业的，应当事先向港口行政主管部门申请，经批准后方可作业。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第十六条</w:t>
      </w:r>
      <w:r>
        <w:rPr>
          <w:rFonts w:hint="eastAsia" w:ascii="宋体" w:hAnsi="宋体"/>
          <w:szCs w:val="32"/>
        </w:rPr>
        <w:t xml:space="preserve">  船舶和码头经营人进行散装固体危险货物或者包装危险货物装卸作业时，应当采取有效的安全与防污染措施；对不符合安全适运要求的货物，不得装卸。</w:t>
      </w:r>
    </w:p>
    <w:p>
      <w:pPr>
        <w:spacing w:beforeLines="0" w:afterLines="0" w:line="590" w:lineRule="exact"/>
        <w:ind w:firstLine="632" w:firstLineChars="200"/>
        <w:rPr>
          <w:rFonts w:hint="eastAsia" w:ascii="宋体" w:hAnsi="宋体"/>
          <w:szCs w:val="32"/>
        </w:rPr>
      </w:pPr>
      <w:r>
        <w:rPr>
          <w:rFonts w:hint="eastAsia" w:ascii="宋体" w:hAnsi="宋体"/>
          <w:szCs w:val="32"/>
        </w:rPr>
        <w:t>装卸作业中发生危险货物落水时，船舶和码头经营人应当迅速打捞清除，并立即向海事、港口等行政主管部门报告。</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第十七条</w:t>
      </w:r>
      <w:r>
        <w:rPr>
          <w:rFonts w:hint="eastAsia" w:ascii="宋体" w:hAnsi="宋体"/>
          <w:szCs w:val="32"/>
        </w:rPr>
        <w:t xml:space="preserve">  船舶和码头经营人从事散装液体货物装卸作业时，应当合理配置装卸管系和设备，作业人员必须按船舶或者船岸安全检查表和协议书逐项检查落实。</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第十八条</w:t>
      </w:r>
      <w:r>
        <w:rPr>
          <w:rFonts w:hint="eastAsia" w:ascii="宋体" w:hAnsi="宋体"/>
          <w:szCs w:val="32"/>
        </w:rPr>
        <w:t xml:space="preserve">  船舶需在港区水域内进行舷外拷铲、油漆作业的，应当在作业前向主管部门报告；作业时，必须采取防治污染措施。</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第十九条</w:t>
      </w:r>
      <w:r>
        <w:rPr>
          <w:rFonts w:hint="eastAsia" w:ascii="宋体" w:hAnsi="宋体"/>
          <w:szCs w:val="32"/>
        </w:rPr>
        <w:t xml:space="preserve">  禁止以清舱为目的的船舶进入水域进行清洗油泥、油渣活动。</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第二十条</w:t>
      </w:r>
      <w:r>
        <w:rPr>
          <w:rFonts w:hint="eastAsia" w:ascii="宋体" w:hAnsi="宋体"/>
          <w:szCs w:val="32"/>
        </w:rPr>
        <w:t xml:space="preserve">  到港或者在过驳作业区的船舶需进行清舱或者洗舱作业的，应当在作业前向主管部门报告。</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第二十一条</w:t>
      </w:r>
      <w:r>
        <w:rPr>
          <w:rFonts w:hint="eastAsia" w:ascii="宋体" w:hAnsi="宋体"/>
          <w:szCs w:val="32"/>
        </w:rPr>
        <w:t xml:space="preserve">  从事船舶打捞作业和其他船舶水上水下施工作业的单位，应当备妥足够的防污染应急设备和器材，在作业前将防污染方案报告主管部门，并在作业时采取防治污染措施。</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第二十二条 </w:t>
      </w:r>
      <w:r>
        <w:rPr>
          <w:rFonts w:hint="eastAsia" w:ascii="宋体" w:hAnsi="宋体"/>
          <w:szCs w:val="32"/>
        </w:rPr>
        <w:t xml:space="preserve"> 船舶在海域造成油污染，需使用消油剂的，应当符合国家有关标准。禁止在内河水域使用消油剂。</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第二十三条</w:t>
      </w:r>
      <w:r>
        <w:rPr>
          <w:rFonts w:hint="eastAsia" w:ascii="宋体" w:hAnsi="宋体"/>
          <w:szCs w:val="32"/>
        </w:rPr>
        <w:t xml:space="preserve">  禁止油船、散装化学品船以及装载有毒有害货物或者散装粉状货物的船舶在港区内冲洗甲板。</w:t>
      </w:r>
    </w:p>
    <w:p>
      <w:pPr>
        <w:spacing w:beforeLines="0" w:afterLines="0" w:line="590" w:lineRule="exact"/>
        <w:ind w:firstLine="632" w:firstLineChars="200"/>
        <w:rPr>
          <w:rFonts w:hint="eastAsia" w:ascii="宋体" w:hAnsi="宋体"/>
          <w:szCs w:val="32"/>
        </w:rPr>
      </w:pPr>
      <w:r>
        <w:rPr>
          <w:rFonts w:hint="eastAsia" w:ascii="宋体" w:hAnsi="宋体"/>
          <w:szCs w:val="32"/>
        </w:rPr>
        <w:t>禁止任何船舶在敏感岸线附近和特殊保护水域内冲洗甲板。</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第二十四条 </w:t>
      </w:r>
      <w:r>
        <w:rPr>
          <w:rFonts w:hint="eastAsia" w:ascii="宋体" w:hAnsi="宋体"/>
          <w:szCs w:val="32"/>
        </w:rPr>
        <w:t xml:space="preserve"> 在港区水域内，禁止船舶使用焚烧炉；禁止载运散装液体货物的船舶进行驱气作业。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第二十五条</w:t>
      </w:r>
      <w:r>
        <w:rPr>
          <w:rFonts w:hint="eastAsia" w:ascii="宋体" w:hAnsi="宋体"/>
          <w:szCs w:val="32"/>
        </w:rPr>
        <w:t xml:space="preserve">  禁止任何船舶在饮用水源一级保护区范围内停泊。</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第二十六条</w:t>
      </w:r>
      <w:r>
        <w:rPr>
          <w:rFonts w:hint="eastAsia" w:ascii="宋体" w:hAnsi="宋体"/>
          <w:szCs w:val="32"/>
        </w:rPr>
        <w:t xml:space="preserve">  禁止下列船舶进行装卸作业：</w:t>
      </w:r>
    </w:p>
    <w:p>
      <w:pPr>
        <w:spacing w:beforeLines="0" w:afterLines="0" w:line="590" w:lineRule="exact"/>
        <w:ind w:firstLine="632" w:firstLineChars="200"/>
        <w:rPr>
          <w:rFonts w:hint="eastAsia" w:ascii="宋体" w:hAnsi="宋体"/>
          <w:szCs w:val="32"/>
        </w:rPr>
      </w:pPr>
      <w:r>
        <w:rPr>
          <w:rFonts w:hint="eastAsia" w:ascii="宋体" w:hAnsi="宋体"/>
          <w:szCs w:val="32"/>
        </w:rPr>
        <w:t>（一）载运危险货物或者污染危害性货物的船舶，不具备适航或者适装条件的；</w:t>
      </w:r>
    </w:p>
    <w:p>
      <w:pPr>
        <w:spacing w:beforeLines="0" w:afterLines="0" w:line="590" w:lineRule="exact"/>
        <w:ind w:firstLine="632" w:firstLineChars="200"/>
        <w:rPr>
          <w:rFonts w:hint="eastAsia" w:ascii="宋体" w:hAnsi="宋体"/>
          <w:szCs w:val="32"/>
        </w:rPr>
      </w:pPr>
      <w:r>
        <w:rPr>
          <w:rFonts w:hint="eastAsia" w:ascii="宋体" w:hAnsi="宋体"/>
          <w:szCs w:val="32"/>
        </w:rPr>
        <w:t>（二）载运未经国家环境保护行政主管部门批准进口的固体废物的。</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第二十七条 </w:t>
      </w:r>
      <w:r>
        <w:rPr>
          <w:rFonts w:hint="eastAsia" w:ascii="宋体" w:hAnsi="宋体"/>
          <w:szCs w:val="32"/>
        </w:rPr>
        <w:t xml:space="preserve"> 禁止废船拆解作业。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第二十八条</w:t>
      </w:r>
      <w:r>
        <w:rPr>
          <w:rFonts w:hint="eastAsia" w:ascii="宋体" w:hAnsi="宋体"/>
          <w:szCs w:val="32"/>
        </w:rPr>
        <w:t xml:space="preserve">  船舶排放污染物，必须符合国际公约及国家的规定。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第二十九条</w:t>
      </w:r>
      <w:r>
        <w:rPr>
          <w:rFonts w:hint="eastAsia" w:ascii="宋体" w:hAnsi="宋体"/>
          <w:szCs w:val="32"/>
        </w:rPr>
        <w:t xml:space="preserve">  到港船舶排放压载水，应当遵守船舶污染物排放标准，并在作业前向主管部门报告；含油或者含有毒有害物质的压载水、洗舱水及舱底污水等，应当按要求排入码头、港口接收设施或者由船舶污染物接收单位接收处理。</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第三十条</w:t>
      </w:r>
      <w:r>
        <w:rPr>
          <w:rFonts w:hint="eastAsia" w:ascii="宋体" w:hAnsi="宋体"/>
          <w:szCs w:val="32"/>
        </w:rPr>
        <w:t xml:space="preserve">  来自疫情港口水域的船舶垃圾、压载水，必须申请出入境检验检疫部门进行卫生处理后方可接收处理。</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第三十一条</w:t>
      </w:r>
      <w:r>
        <w:rPr>
          <w:rFonts w:hint="eastAsia" w:ascii="宋体" w:hAnsi="宋体"/>
          <w:szCs w:val="32"/>
        </w:rPr>
        <w:t xml:space="preserve">  船舶垃圾应当分类存放，其中含有毒害性或者其他危险性物品的应当单独存放，并向接收单位提供所含物质的名称、性质和数量等资料。</w:t>
      </w:r>
    </w:p>
    <w:p>
      <w:pPr>
        <w:spacing w:beforeLines="0" w:afterLines="0" w:line="590" w:lineRule="exact"/>
        <w:ind w:firstLine="632" w:firstLineChars="200"/>
        <w:rPr>
          <w:rFonts w:hint="eastAsia" w:ascii="宋体" w:hAnsi="宋体"/>
          <w:szCs w:val="32"/>
        </w:rPr>
      </w:pPr>
      <w:r>
        <w:rPr>
          <w:rFonts w:hint="eastAsia" w:ascii="宋体" w:hAnsi="宋体"/>
          <w:szCs w:val="32"/>
        </w:rPr>
        <w:t>码头经营人负责接收到港船舶垃圾，交有关单位分类处理；属于危险废物的，应当交有资质的单位处理。</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第三十二条</w:t>
      </w:r>
      <w:r>
        <w:rPr>
          <w:rFonts w:hint="eastAsia" w:ascii="宋体" w:hAnsi="宋体"/>
          <w:szCs w:val="32"/>
        </w:rPr>
        <w:t xml:space="preserve">  船舶污染物的接收单位应当向港口行政主管部门办理备案手续，其中从事危险废物接收的单位，还应当依法取得危险废物经营许可证。</w:t>
      </w:r>
    </w:p>
    <w:p>
      <w:pPr>
        <w:spacing w:beforeLines="0" w:afterLines="0" w:line="590" w:lineRule="exact"/>
        <w:ind w:firstLine="632" w:firstLineChars="200"/>
        <w:rPr>
          <w:rFonts w:hint="eastAsia" w:ascii="宋体" w:hAnsi="宋体"/>
          <w:szCs w:val="32"/>
        </w:rPr>
      </w:pPr>
      <w:r>
        <w:rPr>
          <w:rFonts w:hint="eastAsia" w:ascii="宋体" w:hAnsi="宋体"/>
          <w:szCs w:val="32"/>
        </w:rPr>
        <w:t>接收单位应当按照规定处理船舶污染物，并将接收和处理情况定期向港口行政主管部门报告。</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第三十三条</w:t>
      </w:r>
      <w:r>
        <w:rPr>
          <w:rFonts w:hint="eastAsia" w:ascii="宋体" w:hAnsi="宋体"/>
          <w:szCs w:val="32"/>
        </w:rPr>
        <w:t xml:space="preserve">  船舶修造厂修理船舶产生的垃圾、油污水和其他废弃物，由船舶修造厂负责回收处理，不得投弃入水。</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第三十四条 </w:t>
      </w:r>
      <w:r>
        <w:rPr>
          <w:rFonts w:hint="eastAsia" w:ascii="宋体" w:hAnsi="宋体"/>
          <w:szCs w:val="32"/>
        </w:rPr>
        <w:t xml:space="preserve"> 船舶从事油类作业、散装有毒液体货物作业和</w:t>
      </w:r>
      <w:r>
        <w:rPr>
          <w:rFonts w:hint="eastAsia" w:ascii="宋体" w:hAnsi="宋体"/>
          <w:spacing w:val="-6"/>
          <w:szCs w:val="32"/>
        </w:rPr>
        <w:t>船舶垃圾的处理，应当按规定在相应的记录簿上如实记载操作情况。</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第三十五条 </w:t>
      </w:r>
      <w:r>
        <w:rPr>
          <w:rFonts w:hint="eastAsia" w:ascii="宋体" w:hAnsi="宋体"/>
          <w:szCs w:val="32"/>
        </w:rPr>
        <w:t xml:space="preserve"> 船舶污染物的接收单位接收作业完毕后，应当向船舶出具书面凭证，并由船方签字确认后作为接收凭证。</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第三十六条 </w:t>
      </w:r>
      <w:r>
        <w:rPr>
          <w:rFonts w:hint="eastAsia" w:ascii="宋体" w:hAnsi="宋体"/>
          <w:szCs w:val="32"/>
        </w:rPr>
        <w:t xml:space="preserve"> 浮船坞修造作业结束后，应当进行坞内的清理和清洁，并向主管部门提交船坞清洁报告，经确认后，船舶方可出坞。</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第三十七条 </w:t>
      </w:r>
      <w:r>
        <w:rPr>
          <w:rFonts w:hint="eastAsia" w:ascii="宋体" w:hAnsi="宋体"/>
          <w:szCs w:val="32"/>
        </w:rPr>
        <w:t xml:space="preserve"> 有关主管部门应当对水域进行监视，对船舶、码头、水上过驳作业区以及其他有关作业现场进行监督，发现违反本条例规定的行为时，应当予以制止，并依法处理。</w:t>
      </w:r>
    </w:p>
    <w:p>
      <w:pPr>
        <w:spacing w:beforeLines="0" w:afterLines="0" w:line="590" w:lineRule="exact"/>
        <w:ind w:firstLine="632" w:firstLineChars="200"/>
        <w:rPr>
          <w:rFonts w:ascii="宋体" w:hAnsi="宋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第三章  污染事故应急反应</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第三十八条</w:t>
      </w:r>
      <w:r>
        <w:rPr>
          <w:rFonts w:hint="eastAsia" w:ascii="宋体" w:hAnsi="宋体"/>
          <w:szCs w:val="32"/>
        </w:rPr>
        <w:t xml:space="preserve">  在水域发生一般等级以上船舶污染事故或者水域外发生船舶污染事故可能造成水域污染时，市人民政府应当会同主管部门成立事故应急指挥机构，开展应急处置工作。</w:t>
      </w:r>
    </w:p>
    <w:p>
      <w:pPr>
        <w:spacing w:beforeLines="0" w:afterLines="0" w:line="590" w:lineRule="exact"/>
        <w:ind w:firstLine="632" w:firstLineChars="200"/>
        <w:rPr>
          <w:rFonts w:hint="eastAsia" w:ascii="宋体" w:hAnsi="宋体"/>
          <w:szCs w:val="32"/>
        </w:rPr>
      </w:pPr>
      <w:r>
        <w:rPr>
          <w:rFonts w:hint="eastAsia" w:ascii="宋体" w:hAnsi="宋体"/>
          <w:szCs w:val="32"/>
        </w:rPr>
        <w:t>珠海市海上搜寻救助分中心（以下简称市搜救中心）是市人民政府负责船舶重大污染事故应急行动的组织、协调机构。</w:t>
      </w:r>
    </w:p>
    <w:p>
      <w:pPr>
        <w:spacing w:beforeLines="0" w:afterLines="0" w:line="590" w:lineRule="exact"/>
        <w:ind w:firstLine="632" w:firstLineChars="200"/>
        <w:rPr>
          <w:rFonts w:hint="eastAsia" w:ascii="宋体" w:hAnsi="宋体"/>
          <w:szCs w:val="32"/>
        </w:rPr>
      </w:pPr>
      <w:r>
        <w:rPr>
          <w:rFonts w:hint="eastAsia" w:ascii="宋体" w:hAnsi="宋体"/>
          <w:szCs w:val="32"/>
        </w:rPr>
        <w:t>市搜救中心成员单位必须履行各自职责，服从市搜救中心的统一组织协调，协同做好水域污染控制与有关救援工作。</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第三十九条 </w:t>
      </w:r>
      <w:r>
        <w:rPr>
          <w:rFonts w:hint="eastAsia" w:ascii="宋体" w:hAnsi="宋体"/>
          <w:szCs w:val="32"/>
        </w:rPr>
        <w:t xml:space="preserve"> 市人民政府应当制定水域船舶污染应急预案。</w:t>
      </w:r>
    </w:p>
    <w:p>
      <w:pPr>
        <w:spacing w:beforeLines="0" w:afterLines="0" w:line="590" w:lineRule="exact"/>
        <w:ind w:firstLine="632" w:firstLineChars="200"/>
        <w:rPr>
          <w:rFonts w:hint="eastAsia" w:ascii="宋体" w:hAnsi="宋体"/>
          <w:szCs w:val="32"/>
        </w:rPr>
      </w:pPr>
      <w:r>
        <w:rPr>
          <w:rFonts w:hint="eastAsia" w:ascii="宋体" w:hAnsi="宋体"/>
          <w:szCs w:val="32"/>
        </w:rPr>
        <w:t>港口、码头、装卸站的经营人以及有关作业单位必须制定防治船舶及其有关作业活动污染海洋环境的应急预案，报海事、环境保护等行政主管部门备案。</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第四十条</w:t>
      </w:r>
      <w:r>
        <w:rPr>
          <w:rFonts w:hint="eastAsia" w:ascii="宋体" w:hAnsi="宋体"/>
          <w:szCs w:val="32"/>
        </w:rPr>
        <w:t xml:space="preserve">  码头、水上装卸设施、散装液体货物过驳作业经营人应当按照要求配备相应的防污染应急设备和器材。</w:t>
      </w:r>
    </w:p>
    <w:p>
      <w:pPr>
        <w:spacing w:beforeLines="0" w:afterLines="0" w:line="590" w:lineRule="exact"/>
        <w:ind w:firstLine="632" w:firstLineChars="200"/>
        <w:rPr>
          <w:rFonts w:hint="eastAsia" w:ascii="宋体" w:hAnsi="宋体"/>
          <w:szCs w:val="32"/>
        </w:rPr>
      </w:pPr>
      <w:r>
        <w:rPr>
          <w:rFonts w:hint="eastAsia" w:ascii="宋体" w:hAnsi="宋体"/>
          <w:szCs w:val="32"/>
        </w:rPr>
        <w:t>船舶修造厂应当根据其修造能力配备一定数量的防污染应急设备和器材。</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第四十一条</w:t>
      </w:r>
      <w:r>
        <w:rPr>
          <w:rFonts w:hint="eastAsia" w:ascii="宋体" w:hAnsi="宋体"/>
          <w:szCs w:val="32"/>
        </w:rPr>
        <w:t xml:space="preserve">  船舶、码头发生污染水域事故，船舶或者船岸双方应当立即采取有效的控制、清除或者减轻污染损害的措施，并按各自防污应急预案的规定程序向主管部门进行初始和补充报告；主管部门接到报告后，对重大污染事故应当立即向市人民政府和市搜救中心报告。</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第四十二条 </w:t>
      </w:r>
      <w:r>
        <w:rPr>
          <w:rFonts w:hint="eastAsia" w:ascii="宋体" w:hAnsi="宋体"/>
          <w:szCs w:val="32"/>
        </w:rPr>
        <w:t xml:space="preserve"> 为避免或者减轻水域的污染损害，主管部门有权采取必要的清除污染、打捞或者拖航等强制措施。</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第四十三条 </w:t>
      </w:r>
      <w:r>
        <w:rPr>
          <w:rFonts w:hint="eastAsia" w:ascii="宋体" w:hAnsi="宋体"/>
          <w:szCs w:val="32"/>
        </w:rPr>
        <w:t xml:space="preserve"> 船舶造成水域污染，必须缴纳有关清除污染、打捞、拖航等强制措施的费用以及罚款或者提供相应的经济担保，并经主管部门认可后，方可开航。</w:t>
      </w:r>
    </w:p>
    <w:p>
      <w:pPr>
        <w:spacing w:beforeLines="0" w:afterLines="0" w:line="590" w:lineRule="exact"/>
        <w:ind w:firstLine="632" w:firstLineChars="200"/>
        <w:rPr>
          <w:rFonts w:ascii="宋体" w:hAnsi="宋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第四章  法律责任</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第四十四条</w:t>
      </w:r>
      <w:r>
        <w:rPr>
          <w:rFonts w:hint="eastAsia" w:ascii="宋体" w:hAnsi="宋体"/>
          <w:szCs w:val="32"/>
        </w:rPr>
        <w:t xml:space="preserve">  造成水域污染事故的，有关责任者应当排除污染危害，承担相应的污染清除费用。</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第四十五条 </w:t>
      </w:r>
      <w:r>
        <w:rPr>
          <w:rFonts w:hint="eastAsia" w:ascii="宋体" w:hAnsi="宋体"/>
          <w:szCs w:val="32"/>
        </w:rPr>
        <w:t xml:space="preserve"> 违反本条例第八条的规定，经营人指派未取得上岗证的人员上岗的，由港口行政主管部门责令改正，处以五万元以上十万元以下的罚款；拒不改正的，责令停产停业整顿；构成犯罪的，依法追究刑事责任。</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第四十六条</w:t>
      </w:r>
      <w:r>
        <w:rPr>
          <w:rFonts w:hint="eastAsia" w:ascii="宋体" w:hAnsi="宋体"/>
          <w:szCs w:val="32"/>
        </w:rPr>
        <w:t xml:space="preserve">  违反本条例第十条规定的，由港口行政主管部门责令停止作业，没收违法所得；违法所得十万元以上的，并处以违法所得二倍以上五倍以下的罚款；违法所得不足十万元的，处以五万元以上二十万元以下的罚款。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第四十七条</w:t>
      </w:r>
      <w:r>
        <w:rPr>
          <w:rFonts w:hint="eastAsia" w:ascii="宋体" w:hAnsi="宋体"/>
          <w:szCs w:val="32"/>
        </w:rPr>
        <w:t xml:space="preserve">  违反本条例第十二条规定的，由主管部门予以警告；情节严重的，处以二万元以下的罚款。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第四十八条</w:t>
      </w:r>
      <w:r>
        <w:rPr>
          <w:rFonts w:hint="eastAsia" w:ascii="宋体" w:hAnsi="宋体"/>
          <w:szCs w:val="32"/>
        </w:rPr>
        <w:t xml:space="preserve">  违反本条例第十八条的规定，未按照规定将有关情况向主管部门报告的，由主管部门予以警告；情节严重的，处以二万元以下的罚款。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第四十九条 </w:t>
      </w:r>
      <w:r>
        <w:rPr>
          <w:rFonts w:hint="eastAsia" w:ascii="宋体" w:hAnsi="宋体"/>
          <w:szCs w:val="32"/>
        </w:rPr>
        <w:t xml:space="preserve"> 违反本条例第二十六条第（一）项规定的，由主管部门责令停止作业，予以警告，并处以二万元以上十万元以下的罚款。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第五十条</w:t>
      </w:r>
      <w:r>
        <w:rPr>
          <w:rFonts w:hint="eastAsia" w:ascii="宋体" w:hAnsi="宋体"/>
          <w:szCs w:val="32"/>
        </w:rPr>
        <w:t xml:space="preserve">  违反本条例第二十七条的规定，进行废船拆解作业的，由有关主管部门责令停止作业，并处以一万元以上五万元以下的罚款；造成污染损害的，处以五万元以上二十万元以下的罚款。</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第五十一条 </w:t>
      </w:r>
      <w:r>
        <w:rPr>
          <w:rFonts w:hint="eastAsia" w:ascii="宋体" w:hAnsi="宋体"/>
          <w:szCs w:val="32"/>
        </w:rPr>
        <w:t xml:space="preserve"> 违反本条例其他规定的，由有关主管部门依据国家有关法律、法规、规章的规定予以处罚。</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第五十二条  </w:t>
      </w:r>
      <w:r>
        <w:rPr>
          <w:rFonts w:hint="eastAsia" w:ascii="宋体" w:hAnsi="宋体"/>
          <w:szCs w:val="32"/>
        </w:rPr>
        <w:t>有关主管部门工作人员玩忽职守、滥用职权、徇私舞弊的，依法给予行政处分；构成犯罪的，依法追究刑事责任。</w:t>
      </w:r>
    </w:p>
    <w:p>
      <w:pPr>
        <w:spacing w:beforeLines="0" w:afterLines="0" w:line="590" w:lineRule="exact"/>
        <w:ind w:firstLine="632" w:firstLineChars="200"/>
        <w:rPr>
          <w:rFonts w:ascii="宋体" w:hAnsi="宋体"/>
          <w:szCs w:val="32"/>
        </w:rPr>
      </w:pPr>
    </w:p>
    <w:p>
      <w:pPr>
        <w:spacing w:beforeLines="0" w:afterLines="0" w:line="590" w:lineRule="exact"/>
        <w:jc w:val="center"/>
        <w:rPr>
          <w:rFonts w:hint="eastAsia" w:ascii="宋体" w:hAnsi="宋体" w:eastAsia="黑体"/>
          <w:szCs w:val="32"/>
        </w:rPr>
      </w:pPr>
      <w:r>
        <w:rPr>
          <w:rFonts w:hint="eastAsia" w:ascii="宋体" w:hAnsi="宋体" w:eastAsia="黑体"/>
          <w:szCs w:val="32"/>
        </w:rPr>
        <w:t>第五章  附  则</w:t>
      </w:r>
    </w:p>
    <w:p>
      <w:pPr>
        <w:spacing w:beforeLines="0" w:afterLines="0" w:line="590" w:lineRule="exact"/>
        <w:ind w:firstLine="632" w:firstLineChars="200"/>
        <w:rPr>
          <w:rFonts w:ascii="宋体" w:hAnsi="宋体"/>
          <w:szCs w:val="32"/>
        </w:rPr>
      </w:pPr>
    </w:p>
    <w:p>
      <w:pPr>
        <w:spacing w:beforeLines="0" w:afterLines="0" w:line="590" w:lineRule="exact"/>
        <w:ind w:firstLine="632" w:firstLineChars="200"/>
        <w:rPr>
          <w:rFonts w:hint="eastAsia" w:ascii="宋体" w:hAnsi="宋体"/>
          <w:szCs w:val="32"/>
        </w:rPr>
      </w:pPr>
      <w:r>
        <w:rPr>
          <w:rFonts w:hint="eastAsia" w:ascii="宋体" w:hAnsi="宋体" w:eastAsia="黑体"/>
          <w:szCs w:val="32"/>
        </w:rPr>
        <w:t>第五十三条</w:t>
      </w:r>
      <w:r>
        <w:rPr>
          <w:rFonts w:hint="eastAsia" w:ascii="宋体" w:hAnsi="宋体"/>
          <w:szCs w:val="32"/>
        </w:rPr>
        <w:t xml:space="preserve">  本条例下列用语的含义是：</w:t>
      </w:r>
    </w:p>
    <w:p>
      <w:pPr>
        <w:spacing w:beforeLines="0" w:afterLines="0" w:line="590" w:lineRule="exact"/>
        <w:ind w:firstLine="632" w:firstLineChars="200"/>
        <w:rPr>
          <w:rFonts w:hint="eastAsia" w:ascii="宋体" w:hAnsi="宋体"/>
          <w:szCs w:val="32"/>
        </w:rPr>
      </w:pPr>
      <w:r>
        <w:rPr>
          <w:rFonts w:hint="eastAsia" w:ascii="宋体" w:hAnsi="宋体"/>
          <w:szCs w:val="32"/>
        </w:rPr>
        <w:t>（一）水上装卸设施，是指水上各种固定或浮动的用于货物装卸作业的建筑装置和平台。</w:t>
      </w:r>
    </w:p>
    <w:p>
      <w:pPr>
        <w:spacing w:beforeLines="0" w:afterLines="0" w:line="590" w:lineRule="exact"/>
        <w:ind w:firstLine="632" w:firstLineChars="200"/>
        <w:rPr>
          <w:rFonts w:hint="eastAsia" w:ascii="宋体" w:hAnsi="宋体"/>
          <w:szCs w:val="32"/>
        </w:rPr>
      </w:pPr>
      <w:r>
        <w:rPr>
          <w:rFonts w:hint="eastAsia" w:ascii="宋体" w:hAnsi="宋体"/>
          <w:szCs w:val="32"/>
        </w:rPr>
        <w:t>（二）有关作业，是指与船舶以及船舶本身的活动相关联的作业活动，包括船舶修造和拆解、船舶打捞、水上水下施工、船舶供应、码头和海上过驳作业区的货物装卸、危险货物集装箱拆（装）箱、供受燃油作业、船舶污染物回收等作业活动。</w:t>
      </w:r>
    </w:p>
    <w:p>
      <w:pPr>
        <w:spacing w:beforeLines="0" w:afterLines="0" w:line="590" w:lineRule="exact"/>
        <w:ind w:firstLine="632" w:firstLineChars="200"/>
        <w:rPr>
          <w:rFonts w:hint="eastAsia" w:ascii="宋体" w:hAnsi="宋体"/>
          <w:szCs w:val="32"/>
        </w:rPr>
      </w:pPr>
      <w:r>
        <w:rPr>
          <w:rFonts w:hint="eastAsia" w:ascii="宋体" w:hAnsi="宋体"/>
          <w:szCs w:val="32"/>
        </w:rPr>
        <w:t>（三）船舶污染物，是指船舶及有关作业向水域排放的任何可能对水域环境造成污染损害的物质，包括油类、油性混合物、货物残余物、生活污水、垃圾、废气等。</w:t>
      </w:r>
    </w:p>
    <w:p>
      <w:pPr>
        <w:spacing w:beforeLines="0" w:afterLines="0" w:line="590" w:lineRule="exact"/>
        <w:ind w:firstLine="632" w:firstLineChars="200"/>
        <w:rPr>
          <w:rFonts w:hint="eastAsia" w:ascii="宋体" w:hAnsi="宋体"/>
          <w:szCs w:val="32"/>
        </w:rPr>
      </w:pPr>
      <w:r>
        <w:rPr>
          <w:rFonts w:hint="eastAsia" w:ascii="宋体" w:hAnsi="宋体"/>
          <w:szCs w:val="32"/>
        </w:rPr>
        <w:t>（四）危险废物，是指《国家危险废物名录》所列物品。</w:t>
      </w:r>
    </w:p>
    <w:p>
      <w:pPr>
        <w:spacing w:beforeLines="0" w:afterLines="0" w:line="590" w:lineRule="exact"/>
        <w:ind w:firstLine="632" w:firstLineChars="200"/>
        <w:rPr>
          <w:rFonts w:hint="eastAsia" w:ascii="宋体" w:hAnsi="宋体"/>
          <w:szCs w:val="32"/>
        </w:rPr>
      </w:pPr>
      <w:r>
        <w:rPr>
          <w:rFonts w:hint="eastAsia" w:ascii="宋体" w:hAnsi="宋体"/>
          <w:szCs w:val="32"/>
        </w:rPr>
        <w:t>（五）油类，是指任何类型的油及其炼制品。</w:t>
      </w:r>
    </w:p>
    <w:p>
      <w:pPr>
        <w:spacing w:beforeLines="0" w:afterLines="0" w:line="590" w:lineRule="exact"/>
        <w:ind w:firstLine="632" w:firstLineChars="200"/>
        <w:rPr>
          <w:rFonts w:hint="eastAsia" w:ascii="宋体" w:hAnsi="宋体"/>
          <w:szCs w:val="32"/>
        </w:rPr>
      </w:pPr>
      <w:r>
        <w:rPr>
          <w:rFonts w:hint="eastAsia" w:ascii="宋体" w:hAnsi="宋体"/>
          <w:szCs w:val="32"/>
        </w:rPr>
        <w:t>（六）散装液体危险货物，是指散装油类、散装液体危险化学品、散装液化气体。</w:t>
      </w:r>
    </w:p>
    <w:p>
      <w:pPr>
        <w:spacing w:beforeLines="0" w:afterLines="0" w:line="590" w:lineRule="exact"/>
        <w:ind w:firstLine="632" w:firstLineChars="200"/>
        <w:rPr>
          <w:rFonts w:hint="eastAsia" w:ascii="宋体" w:hAnsi="宋体"/>
          <w:szCs w:val="32"/>
        </w:rPr>
      </w:pPr>
      <w:r>
        <w:rPr>
          <w:rFonts w:hint="eastAsia" w:ascii="宋体" w:hAnsi="宋体"/>
          <w:szCs w:val="32"/>
        </w:rPr>
        <w:t>（七）船舶垃圾，是指船舶在营运过程中，船员及旅客生活垃圾、炉渣、垫（隔）舱和扫舱物料，以及船上损耗报废的工具、机器零件等固体废弃物。</w:t>
      </w:r>
    </w:p>
    <w:p>
      <w:pPr>
        <w:spacing w:beforeLines="0" w:afterLines="0" w:line="590" w:lineRule="exact"/>
        <w:ind w:firstLine="632" w:firstLineChars="200"/>
        <w:rPr>
          <w:rFonts w:hint="eastAsia" w:ascii="宋体" w:hAnsi="宋体"/>
          <w:szCs w:val="32"/>
        </w:rPr>
      </w:pPr>
      <w:r>
        <w:rPr>
          <w:rFonts w:hint="eastAsia" w:ascii="宋体" w:hAnsi="宋体"/>
          <w:szCs w:val="32"/>
        </w:rPr>
        <w:t>（八）港区水域，是指包括锚地、航道、港池等在内的水域。</w:t>
      </w:r>
    </w:p>
    <w:p>
      <w:pPr>
        <w:spacing w:beforeLines="0" w:afterLines="0" w:line="590" w:lineRule="exact"/>
        <w:ind w:firstLine="632" w:firstLineChars="200"/>
        <w:rPr>
          <w:rFonts w:hint="eastAsia" w:ascii="宋体" w:hAnsi="宋体"/>
          <w:szCs w:val="32"/>
        </w:rPr>
      </w:pPr>
      <w:r>
        <w:rPr>
          <w:rFonts w:hint="eastAsia" w:ascii="宋体" w:hAnsi="宋体"/>
          <w:szCs w:val="32"/>
        </w:rPr>
        <w:t>（九）河流饮用水源一级保护区，是指取水点上、下游一千米以内的水域。</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第五十四条 </w:t>
      </w:r>
      <w:r>
        <w:rPr>
          <w:rFonts w:hint="eastAsia" w:ascii="宋体" w:hAnsi="宋体"/>
          <w:szCs w:val="32"/>
        </w:rPr>
        <w:t xml:space="preserve"> 敏感岸线和特殊保护水域由市人民政府公布。</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第五十五条 </w:t>
      </w:r>
      <w:r>
        <w:rPr>
          <w:rFonts w:hint="eastAsia" w:ascii="宋体" w:hAnsi="宋体"/>
          <w:szCs w:val="32"/>
        </w:rPr>
        <w:t xml:space="preserve"> 珠海市渔业行政主管部门负责对渔港水域内的非军事船舶和渔港水域外渔业船舶行使本条例规定的主管部门的职权。</w:t>
      </w:r>
    </w:p>
    <w:p>
      <w:pPr>
        <w:spacing w:beforeLines="0" w:afterLines="0" w:line="590" w:lineRule="exact"/>
        <w:ind w:firstLine="632" w:firstLineChars="200"/>
        <w:rPr>
          <w:rFonts w:hint="eastAsia" w:ascii="宋体" w:hAnsi="宋体"/>
          <w:szCs w:val="32"/>
        </w:rPr>
      </w:pPr>
      <w:r>
        <w:rPr>
          <w:rFonts w:hint="eastAsia" w:ascii="宋体" w:hAnsi="宋体" w:eastAsia="黑体"/>
          <w:szCs w:val="32"/>
        </w:rPr>
        <w:t xml:space="preserve">第五十六条 </w:t>
      </w:r>
      <w:r>
        <w:rPr>
          <w:rFonts w:hint="eastAsia" w:ascii="宋体" w:hAnsi="宋体"/>
          <w:szCs w:val="32"/>
        </w:rPr>
        <w:t xml:space="preserve"> 本条</w:t>
      </w:r>
      <w:r>
        <w:rPr>
          <w:rFonts w:hint="default" w:ascii="宋体" w:hAnsi="宋体" w:eastAsia="仿宋_GB2312"/>
          <w:sz w:val="32"/>
          <w:szCs w:val="32"/>
        </w:rPr>
        <w:t>例自</w:t>
      </w:r>
      <w:r>
        <w:rPr>
          <w:rFonts w:hint="eastAsia" w:ascii="宋体" w:hAnsi="宋体" w:eastAsia="宋体" w:cs="宋体"/>
          <w:sz w:val="32"/>
          <w:szCs w:val="32"/>
        </w:rPr>
        <w:t>2001</w:t>
      </w:r>
      <w:r>
        <w:rPr>
          <w:rFonts w:hint="default" w:ascii="宋体" w:hAnsi="宋体" w:eastAsia="仿宋_GB2312"/>
          <w:sz w:val="32"/>
          <w:szCs w:val="32"/>
        </w:rPr>
        <w:t>年</w:t>
      </w:r>
      <w:r>
        <w:rPr>
          <w:rFonts w:hint="default" w:ascii="宋体" w:hAnsi="宋体" w:eastAsia="宋体" w:cs="宋体"/>
          <w:sz w:val="32"/>
          <w:szCs w:val="32"/>
        </w:rPr>
        <w:t>10</w:t>
      </w:r>
      <w:r>
        <w:rPr>
          <w:rFonts w:hint="default" w:ascii="宋体" w:hAnsi="宋体" w:eastAsia="仿宋_GB2312"/>
          <w:sz w:val="32"/>
          <w:szCs w:val="32"/>
        </w:rPr>
        <w:t>月</w:t>
      </w:r>
      <w:r>
        <w:rPr>
          <w:rFonts w:hint="default" w:ascii="宋体" w:hAnsi="宋体" w:eastAsia="宋体" w:cs="宋体"/>
          <w:sz w:val="32"/>
          <w:szCs w:val="32"/>
        </w:rPr>
        <w:t>1</w:t>
      </w:r>
      <w:r>
        <w:rPr>
          <w:rFonts w:hint="default" w:ascii="宋体" w:hAnsi="宋体" w:eastAsia="仿宋_GB2312"/>
          <w:sz w:val="32"/>
          <w:szCs w:val="32"/>
        </w:rPr>
        <w:t>日起</w:t>
      </w:r>
      <w:r>
        <w:rPr>
          <w:rFonts w:hint="eastAsia" w:ascii="宋体" w:hAnsi="宋体"/>
          <w:szCs w:val="32"/>
        </w:rPr>
        <w:t>施行。</w:t>
      </w:r>
    </w:p>
    <w:p>
      <w:pPr>
        <w:pStyle w:val="25"/>
        <w:spacing w:beforeLines="0" w:afterLines="0" w:line="590" w:lineRule="exact"/>
        <w:rPr>
          <w:rFonts w:hint="eastAsia" w:ascii="宋体" w:hAnsi="宋体" w:eastAsia="仿宋_GB2312" w:cs="仿宋_GB2312"/>
          <w:sz w:val="32"/>
          <w:szCs w:val="32"/>
        </w:rPr>
      </w:pPr>
      <w:bookmarkStart w:id="0" w:name="_GoBack"/>
      <w:bookmarkEnd w:id="0"/>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54E28"/>
    <w:rsid w:val="02017BA0"/>
    <w:rsid w:val="03CC0B2C"/>
    <w:rsid w:val="04802113"/>
    <w:rsid w:val="07B45BF7"/>
    <w:rsid w:val="082B469B"/>
    <w:rsid w:val="0B106724"/>
    <w:rsid w:val="0CBC6C79"/>
    <w:rsid w:val="1133763B"/>
    <w:rsid w:val="11833DFA"/>
    <w:rsid w:val="123E5CE8"/>
    <w:rsid w:val="13F16B2F"/>
    <w:rsid w:val="161865CC"/>
    <w:rsid w:val="174C7805"/>
    <w:rsid w:val="18BB3185"/>
    <w:rsid w:val="19927AC7"/>
    <w:rsid w:val="1BCB734B"/>
    <w:rsid w:val="1CCE19BE"/>
    <w:rsid w:val="22262EED"/>
    <w:rsid w:val="2AC2582C"/>
    <w:rsid w:val="2B9F3708"/>
    <w:rsid w:val="2ECB7768"/>
    <w:rsid w:val="30BA0056"/>
    <w:rsid w:val="324B14E6"/>
    <w:rsid w:val="35A74CA0"/>
    <w:rsid w:val="37984CAD"/>
    <w:rsid w:val="385F5A05"/>
    <w:rsid w:val="3A335652"/>
    <w:rsid w:val="3CBF32F8"/>
    <w:rsid w:val="3DC8759E"/>
    <w:rsid w:val="3EDC4A01"/>
    <w:rsid w:val="3F0871E0"/>
    <w:rsid w:val="3FF147D7"/>
    <w:rsid w:val="40794631"/>
    <w:rsid w:val="42554E28"/>
    <w:rsid w:val="42781777"/>
    <w:rsid w:val="45725EE5"/>
    <w:rsid w:val="4710621E"/>
    <w:rsid w:val="49617A6A"/>
    <w:rsid w:val="4A330DBA"/>
    <w:rsid w:val="4D62238A"/>
    <w:rsid w:val="55643971"/>
    <w:rsid w:val="5DF40D29"/>
    <w:rsid w:val="5F98268D"/>
    <w:rsid w:val="61913565"/>
    <w:rsid w:val="62616897"/>
    <w:rsid w:val="65BB22F2"/>
    <w:rsid w:val="67794BF8"/>
    <w:rsid w:val="6CED25D5"/>
    <w:rsid w:val="73F135F2"/>
    <w:rsid w:val="763340DB"/>
    <w:rsid w:val="7DAA5D49"/>
    <w:rsid w:val="7EB84AFD"/>
    <w:rsid w:val="7EF86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ahoma" w:eastAsia="仿宋_GB2312" w:cs="Times New Roman"/>
      <w:kern w:val="2"/>
      <w:sz w:val="32"/>
      <w:szCs w:val="32"/>
      <w:lang w:val="en-US" w:eastAsia="zh-CN" w:bidi="ar-SA"/>
    </w:rPr>
  </w:style>
  <w:style w:type="paragraph" w:styleId="2">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Body Text"/>
    <w:basedOn w:val="1"/>
    <w:uiPriority w:val="0"/>
    <w:rPr>
      <w:rFonts w:eastAsia="宋体"/>
      <w:sz w:val="44"/>
      <w:szCs w:val="24"/>
    </w:rPr>
  </w:style>
  <w:style w:type="paragraph" w:styleId="4">
    <w:name w:val="Plain Text"/>
    <w:basedOn w:val="1"/>
    <w:uiPriority w:val="0"/>
    <w:rPr>
      <w:rFonts w:ascii="宋体" w:hAnsi="Courier New" w:eastAsia="宋体" w:cs="Courier New"/>
      <w:sz w:val="21"/>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正文 A"/>
    <w:qFormat/>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10">
    <w:name w:val="Normal (Web)"/>
    <w:basedOn w:val="1"/>
    <w:uiPriority w:val="0"/>
    <w:rPr>
      <w:rFonts w:hint="eastAsia" w:ascii="Calibri" w:hAnsi="Calibri"/>
      <w:sz w:val="24"/>
    </w:rPr>
  </w:style>
  <w:style w:type="paragraph" w:customStyle="1" w:styleId="11">
    <w:name w:val="正文 New New New"/>
    <w:basedOn w:val="1"/>
    <w:uiPriority w:val="0"/>
    <w:pPr>
      <w:widowControl w:val="0"/>
      <w:jc w:val="both"/>
    </w:pPr>
    <w:rPr>
      <w:rFonts w:eastAsia="仿宋_GB2312"/>
      <w:kern w:val="2"/>
      <w:sz w:val="32"/>
      <w:szCs w:val="32"/>
      <w:lang w:val="en-US" w:eastAsia="zh-CN" w:bidi="ar-SA"/>
    </w:rPr>
  </w:style>
  <w:style w:type="paragraph" w:customStyle="1" w:styleId="12">
    <w:name w:val="正文 New New"/>
    <w:uiPriority w:val="0"/>
    <w:pPr>
      <w:widowControl w:val="0"/>
      <w:jc w:val="both"/>
    </w:pPr>
    <w:rPr>
      <w:rFonts w:ascii="仿宋_GB2312" w:hAnsi="Tahoma" w:eastAsia="仿宋_GB2312" w:cs="Times New Roman"/>
      <w:kern w:val="2"/>
      <w:sz w:val="32"/>
      <w:szCs w:val="32"/>
      <w:lang w:val="en-US" w:eastAsia="zh-CN" w:bidi="ar-SA"/>
    </w:rPr>
  </w:style>
  <w:style w:type="paragraph" w:customStyle="1" w:styleId="13">
    <w:name w:val="p0"/>
    <w:basedOn w:val="1"/>
    <w:uiPriority w:val="0"/>
    <w:pPr>
      <w:widowControl/>
    </w:pPr>
    <w:rPr>
      <w:rFonts w:hint="eastAsia" w:ascii="宋体" w:hAnsi="宋体"/>
      <w:sz w:val="32"/>
    </w:rPr>
  </w:style>
  <w:style w:type="paragraph" w:customStyle="1" w:styleId="14">
    <w:name w:val="正文 New New New New New New New New New New New New New New"/>
    <w:uiPriority w:val="0"/>
    <w:pPr>
      <w:widowControl w:val="0"/>
      <w:jc w:val="both"/>
    </w:pPr>
    <w:rPr>
      <w:rFonts w:ascii="仿宋_GB2312" w:hAnsi="Tahoma" w:eastAsia="仿宋_GB2312" w:cs="Times New Roman"/>
      <w:kern w:val="2"/>
      <w:sz w:val="21"/>
      <w:lang w:val="en-US" w:eastAsia="zh-CN" w:bidi="ar-SA"/>
    </w:rPr>
  </w:style>
  <w:style w:type="paragraph" w:customStyle="1" w:styleId="15">
    <w:name w:val="正文 New New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6">
    <w:name w:val="正文 New New New New New New"/>
    <w:uiPriority w:val="0"/>
    <w:pPr>
      <w:widowControl w:val="0"/>
      <w:jc w:val="both"/>
    </w:pPr>
    <w:rPr>
      <w:rFonts w:ascii="仿宋_GB2312" w:hAnsi="Tahoma" w:eastAsia="仿宋_GB2312" w:cs="Times New Roman"/>
      <w:kern w:val="2"/>
      <w:sz w:val="21"/>
      <w:lang w:val="en-US" w:eastAsia="zh-CN" w:bidi="ar-SA"/>
    </w:rPr>
  </w:style>
  <w:style w:type="paragraph" w:customStyle="1" w:styleId="17">
    <w:name w:val="正文 New New New New New New New"/>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18">
    <w:name w:val="List Paragraph"/>
    <w:basedOn w:val="1"/>
    <w:qFormat/>
    <w:uiPriority w:val="99"/>
    <w:pPr>
      <w:widowControl w:val="0"/>
      <w:ind w:firstLine="420"/>
      <w:jc w:val="both"/>
    </w:pPr>
    <w:rPr>
      <w:rFonts w:ascii="Calibri" w:hAnsi="Calibri" w:eastAsia="宋体" w:cs="Calibri"/>
      <w:color w:val="000000"/>
      <w:kern w:val="2"/>
      <w:sz w:val="21"/>
      <w:szCs w:val="21"/>
      <w:u w:val="none" w:color="000000"/>
      <w:lang w:eastAsia="zh-CN"/>
    </w:rPr>
  </w:style>
  <w:style w:type="paragraph" w:customStyle="1" w:styleId="19">
    <w:name w:val="p16"/>
    <w:basedOn w:val="1"/>
    <w:qFormat/>
    <w:uiPriority w:val="0"/>
    <w:pPr>
      <w:widowControl/>
    </w:pPr>
    <w:rPr>
      <w:rFonts w:ascii="宋体" w:hAnsi="宋体" w:cs="宋体"/>
      <w:kern w:val="0"/>
      <w:szCs w:val="21"/>
    </w:rPr>
  </w:style>
  <w:style w:type="paragraph" w:customStyle="1" w:styleId="20">
    <w:name w:val="正文 New New New New New New New New"/>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21">
    <w:name w:val="正文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3">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4">
    <w:name w:val="正文 New"/>
    <w:uiPriority w:val="0"/>
    <w:pPr>
      <w:widowControl w:val="0"/>
      <w:jc w:val="both"/>
    </w:pPr>
    <w:rPr>
      <w:rFonts w:ascii="仿宋_GB2312" w:hAnsi="Tahoma" w:eastAsia="仿宋_GB2312" w:cs="Times New Roman"/>
      <w:kern w:val="2"/>
      <w:sz w:val="21"/>
      <w:szCs w:val="24"/>
      <w:lang w:val="en-US" w:eastAsia="zh-CN" w:bidi="ar-SA"/>
    </w:rPr>
  </w:style>
  <w:style w:type="paragraph" w:customStyle="1" w:styleId="25">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6">
    <w:name w:val="列出段落1"/>
    <w:basedOn w:val="1"/>
    <w:qFormat/>
    <w:uiPriority w:val="0"/>
    <w:pPr>
      <w:adjustRightInd w:val="0"/>
      <w:spacing w:line="360" w:lineRule="atLeast"/>
      <w:ind w:firstLine="420" w:firstLineChars="200"/>
      <w:textAlignment w:val="baseline"/>
    </w:pPr>
    <w:rPr>
      <w:rFonts w:ascii="Calibri" w:hAnsi="Calibri"/>
      <w:szCs w:val="22"/>
    </w:rPr>
  </w:style>
  <w:style w:type="paragraph" w:customStyle="1" w:styleId="27">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2019-02-28T04:15:00Z</dcterms:created>
  <dc:creator>谢浩然</dc:creator>
  <cp:lastModifiedBy>欧阳颖戈</cp:lastModifiedBy>
  <dcterms:modified xsi:type="dcterms:W3CDTF">2019-03-05T07:06:24Z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