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709" w:rsidRDefault="008E0709" w:rsidP="00BD5937">
      <w:pPr>
        <w:spacing w:line="590" w:lineRule="exact"/>
        <w:ind w:firstLineChars="200" w:firstLine="640"/>
        <w:rPr>
          <w:rFonts w:ascii="仿宋_GB2312" w:eastAsia="仿宋_GB2312"/>
          <w:sz w:val="32"/>
          <w:szCs w:val="32"/>
        </w:rPr>
      </w:pPr>
    </w:p>
    <w:p w:rsidR="008E0709" w:rsidRDefault="008E0709" w:rsidP="00BD5937">
      <w:pPr>
        <w:spacing w:line="590" w:lineRule="exact"/>
        <w:ind w:firstLineChars="200" w:firstLine="640"/>
        <w:rPr>
          <w:rFonts w:ascii="仿宋_GB2312" w:eastAsia="仿宋_GB2312"/>
          <w:sz w:val="32"/>
          <w:szCs w:val="32"/>
        </w:rPr>
      </w:pPr>
      <w:bookmarkStart w:id="0" w:name="_GoBack"/>
      <w:bookmarkEnd w:id="0"/>
    </w:p>
    <w:p w:rsidR="008E0709" w:rsidRDefault="009912F0" w:rsidP="00BD5937">
      <w:pPr>
        <w:spacing w:line="590" w:lineRule="exact"/>
        <w:jc w:val="center"/>
        <w:rPr>
          <w:rFonts w:ascii="宋体" w:hAnsi="宋体"/>
          <w:bCs/>
          <w:sz w:val="44"/>
          <w:szCs w:val="44"/>
        </w:rPr>
      </w:pPr>
      <w:r>
        <w:rPr>
          <w:rFonts w:ascii="宋体" w:hAnsi="宋体" w:hint="eastAsia"/>
          <w:bCs/>
          <w:sz w:val="44"/>
          <w:szCs w:val="44"/>
        </w:rPr>
        <w:t>珠海经济特区前山河流域管理条例</w:t>
      </w:r>
    </w:p>
    <w:p w:rsidR="008E0709" w:rsidRDefault="008E0709" w:rsidP="00BD5937">
      <w:pPr>
        <w:spacing w:line="590" w:lineRule="exact"/>
        <w:ind w:firstLineChars="200" w:firstLine="640"/>
        <w:rPr>
          <w:rFonts w:ascii="仿宋_GB2312" w:eastAsia="仿宋_GB2312"/>
          <w:bCs/>
          <w:sz w:val="32"/>
          <w:szCs w:val="32"/>
        </w:rPr>
      </w:pPr>
    </w:p>
    <w:p w:rsidR="008E0709" w:rsidRDefault="009912F0" w:rsidP="00BD5937">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2016</w:t>
      </w:r>
      <w:r>
        <w:rPr>
          <w:rFonts w:ascii="楷体_GB2312" w:eastAsia="楷体_GB2312" w:hint="eastAsia"/>
          <w:bCs/>
          <w:sz w:val="32"/>
          <w:szCs w:val="32"/>
        </w:rPr>
        <w:t>年</w:t>
      </w:r>
      <w:r>
        <w:rPr>
          <w:rFonts w:ascii="楷体_GB2312" w:eastAsia="楷体_GB2312" w:hint="eastAsia"/>
          <w:bCs/>
          <w:sz w:val="32"/>
          <w:szCs w:val="32"/>
        </w:rPr>
        <w:t>5</w:t>
      </w:r>
      <w:r>
        <w:rPr>
          <w:rFonts w:ascii="楷体_GB2312" w:eastAsia="楷体_GB2312" w:hint="eastAsia"/>
          <w:bCs/>
          <w:sz w:val="32"/>
          <w:szCs w:val="32"/>
        </w:rPr>
        <w:t>月</w:t>
      </w:r>
      <w:r>
        <w:rPr>
          <w:rFonts w:ascii="楷体_GB2312" w:eastAsia="楷体_GB2312" w:hint="eastAsia"/>
          <w:bCs/>
          <w:sz w:val="32"/>
          <w:szCs w:val="32"/>
        </w:rPr>
        <w:t>20</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常务委员会第三十五次会议通过）</w:t>
      </w:r>
    </w:p>
    <w:p w:rsidR="008E0709" w:rsidRDefault="008E0709" w:rsidP="00BD5937">
      <w:pPr>
        <w:spacing w:line="590" w:lineRule="exact"/>
        <w:ind w:firstLineChars="200" w:firstLine="640"/>
        <w:rPr>
          <w:rFonts w:ascii="仿宋_GB2312" w:eastAsia="仿宋_GB2312"/>
          <w:bCs/>
          <w:sz w:val="32"/>
          <w:szCs w:val="32"/>
        </w:rPr>
      </w:pPr>
    </w:p>
    <w:p w:rsidR="008E0709" w:rsidRDefault="009912F0" w:rsidP="00BD5937">
      <w:pPr>
        <w:spacing w:line="590" w:lineRule="exact"/>
        <w:jc w:val="center"/>
        <w:rPr>
          <w:rFonts w:ascii="仿宋_GB2312" w:eastAsia="仿宋_GB2312"/>
          <w:sz w:val="32"/>
          <w:szCs w:val="32"/>
        </w:rPr>
      </w:pPr>
      <w:r>
        <w:rPr>
          <w:rFonts w:ascii="楷体" w:eastAsia="楷体" w:hAnsi="楷体" w:cs="楷体" w:hint="eastAsia"/>
          <w:sz w:val="32"/>
          <w:szCs w:val="32"/>
        </w:rPr>
        <w:t>目</w:t>
      </w:r>
      <w:r w:rsidR="00BD5937">
        <w:rPr>
          <w:rFonts w:ascii="楷体" w:eastAsia="楷体" w:hAnsi="楷体" w:cs="楷体" w:hint="eastAsia"/>
          <w:sz w:val="32"/>
          <w:szCs w:val="32"/>
        </w:rPr>
        <w:t xml:space="preserve">    </w:t>
      </w:r>
      <w:r>
        <w:rPr>
          <w:rFonts w:ascii="楷体" w:eastAsia="楷体" w:hAnsi="楷体" w:cs="楷体" w:hint="eastAsia"/>
          <w:sz w:val="32"/>
          <w:szCs w:val="32"/>
        </w:rPr>
        <w:t>录</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规划和建设</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水污染防治</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生态保护</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8E0709" w:rsidRDefault="009912F0" w:rsidP="00BD593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BD593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8E0709" w:rsidRDefault="008E0709" w:rsidP="00BD5937">
      <w:pPr>
        <w:spacing w:line="590" w:lineRule="exact"/>
        <w:ind w:firstLineChars="200" w:firstLine="640"/>
        <w:rPr>
          <w:rFonts w:ascii="仿宋_GB2312" w:eastAsia="仿宋_GB2312"/>
          <w:bCs/>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为了保护前山河流域的水环境，防治水污染，改善生态环境，根据有关法律、行政法规的基本原则，结合珠海经济特区实际，制定本条例。</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本条例适用于本市行政区域内前山河流域的规划、建设、水污染防治和生态环境保护等活动。</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本条例所称前山河流域，是指本市行政区域内前山河自源头至下游石角咀处的所有干支流的集雨范围。具体范围由市人民政府（以下简称市政府）划定并向社会公布。</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前山河流域的管理坚持政府主导、社会参与、保护优先、合理利用和生态补偿的原则。</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市政府对前山河流域的管理实行统一领导，设立前山河流域管理协调机构，负责组织、协调、指导和督促相关管理工作。</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市水行政管理部门负责前山河流域水资源的统一管理工作，组织实施本条例。</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市规划、环保、市政、排水、国土、建设、农业、交通、城市管理行政执法等相关行政管理部门在各</w:t>
      </w:r>
      <w:r>
        <w:rPr>
          <w:rFonts w:ascii="仿宋_GB2312" w:eastAsia="仿宋_GB2312" w:hint="eastAsia"/>
          <w:sz w:val="32"/>
          <w:szCs w:val="32"/>
        </w:rPr>
        <w:t>自职责范围内做好前山河流域的管理工作。</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香洲区人民政府和珠海高新技术产业开发区管理机构（以下简称香洲区政府和高新区管委会）按照管理权限负责本区域内前山河流域规划实施、建设和管理工作。</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镇人民政府、街道办事处（以下简称镇、街）按照各自职责，开展前山河流域管理工作。</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市政府应当向社会公布各级政府及相关行政管理部门在前山河流域管理中的具体职责。</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前山河流域实行属地行政首长负责制。设置区级河长、镇街级河段长，作为包干河段保护管理的第一责任人，牵头</w:t>
      </w:r>
      <w:r>
        <w:rPr>
          <w:rFonts w:ascii="仿宋_GB2312" w:eastAsia="仿宋_GB2312" w:hint="eastAsia"/>
          <w:sz w:val="32"/>
          <w:szCs w:val="32"/>
        </w:rPr>
        <w:lastRenderedPageBreak/>
        <w:t>组织河涌综合整治、协调落实各项工作举措，督导相关部门履行职责。</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政府建立前山河流域的综合整治和保护管理目标责任制，对市相关部门、香洲区政府和高新区管委会进行考核；香洲区政府和高新区管委会对区相关部门、镇、街进行考核。同时建立评议机制，由镇、街对香洲区政府和高新区管委会相关部门，香洲区政府和高新区管委会对市政府相关部门进行评议，评议结果运用于相关部门的管理目标责任制考核结果。</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市政府、</w:t>
      </w:r>
      <w:r>
        <w:rPr>
          <w:rFonts w:ascii="仿宋_GB2312" w:eastAsia="仿宋_GB2312" w:hint="eastAsia"/>
          <w:sz w:val="32"/>
          <w:szCs w:val="32"/>
        </w:rPr>
        <w:t>香洲区政府和高新区管委会应当将前山河流域保护经费纳入本级财政预算，用于前山河流域保护和治理。</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市政府协调前山河流经的其他市政府建立前山河流域共同保护机制，适时提请省政府制定严于国家标准的水污染物排放标准。</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市水行政管理部门建立上下游调水机制，协调前山河流经的其他市政府相关部门实施联动调水。</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市环保行政管理部门协调前山河流经的其他市政府相关执法部门建立联动执法机制。</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前山河流域管理协调机构建立前山河流域行政执法联动机制，协调各相关部门实施联合监测、联合执法以及应急联动，及时处理前山河流域的</w:t>
      </w:r>
      <w:r>
        <w:rPr>
          <w:rFonts w:ascii="仿宋_GB2312" w:eastAsia="仿宋_GB2312" w:hint="eastAsia"/>
          <w:sz w:val="32"/>
          <w:szCs w:val="32"/>
        </w:rPr>
        <w:t>违法行为。</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市水行政、环保、规划、市政、排水、国土、城市管理行政执法等行政管理部门应当将前山河流域的行政许可信息、重点排</w:t>
      </w:r>
      <w:r>
        <w:rPr>
          <w:rFonts w:ascii="仿宋_GB2312" w:eastAsia="仿宋_GB2312" w:hint="eastAsia"/>
          <w:sz w:val="32"/>
          <w:szCs w:val="32"/>
        </w:rPr>
        <w:lastRenderedPageBreak/>
        <w:t>污单位名录及其排污达标信息、行政处罚等信息纳入市政府信息公示及共享平台。</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市水行政、市政、排水等行政管理部门应当加强前山河流域水闸、排洪渠、管网等地理信息系统的建设和管理，相关部门对水质、水量、水污染等水环境方面的监测数据和统计数据应当实时共享。</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鼓励组织和个人通过志愿服务等方式，参与前山河流域的保护和监督。</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市政府、香洲区政府、高新区管委会和相关部门应当为参加前山河流域保护活动</w:t>
      </w:r>
      <w:r>
        <w:rPr>
          <w:rFonts w:ascii="仿宋_GB2312" w:eastAsia="仿宋_GB2312" w:hint="eastAsia"/>
          <w:sz w:val="32"/>
          <w:szCs w:val="32"/>
        </w:rPr>
        <w:t>的志愿者提供必要的便利条件。</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每年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28</w:t>
      </w:r>
      <w:r>
        <w:rPr>
          <w:rFonts w:ascii="仿宋_GB2312" w:eastAsia="仿宋_GB2312" w:hint="eastAsia"/>
          <w:sz w:val="32"/>
          <w:szCs w:val="32"/>
        </w:rPr>
        <w:t>日为前山河保护日。</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ab/>
      </w:r>
      <w:r>
        <w:rPr>
          <w:rFonts w:ascii="黑体" w:eastAsia="黑体" w:hint="eastAsia"/>
          <w:sz w:val="32"/>
          <w:szCs w:val="32"/>
        </w:rPr>
        <w:t>规划和建设</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市水行政管理部门会同市规划等有关部门组织编制前山河流域综合规划，作为前山河流域治理、开发和管理的基本依据。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前山河流域综合规划应当包括污染防治、岸线利用、防洪排涝、水系修复、文化保护等内容。</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有关前山河流域的专项规划，应当遵循前山河流域综合规划；涉及空间布局和土地利用的，应当纳入控制性详细规划。</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编制前山河流域综合规划应当以公示等方式征</w:t>
      </w:r>
      <w:r>
        <w:rPr>
          <w:rFonts w:ascii="仿宋_GB2312" w:eastAsia="仿宋_GB2312" w:hint="eastAsia"/>
          <w:sz w:val="32"/>
          <w:szCs w:val="32"/>
        </w:rPr>
        <w:lastRenderedPageBreak/>
        <w:t>求社会公众意见，经市城乡规划委员会审议通过后，报市政</w:t>
      </w:r>
      <w:r>
        <w:rPr>
          <w:rFonts w:ascii="仿宋_GB2312" w:eastAsia="仿宋_GB2312" w:hint="eastAsia"/>
          <w:sz w:val="32"/>
          <w:szCs w:val="32"/>
        </w:rPr>
        <w:t>府批准。</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市政府应当定期向市人民代表大会常务委员会报告前山河流域综合规划的实施情况。</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建筑、道路、广场、绿地、水系的雨水收集利用、可渗透面积、蓝线划定和保护等海绵城市建设要求应当纳入前山河流域相关专项规划及控制性详细规划，将雨水年径流总量控制率作为刚性控制指标。</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市政府应当划定前山河流域的城乡规划蓝线管理范围并向社会公告。前山河流域的水域面积应当大于</w:t>
      </w:r>
      <w:r>
        <w:rPr>
          <w:rFonts w:ascii="仿宋_GB2312" w:eastAsia="仿宋_GB2312" w:hint="eastAsia"/>
          <w:sz w:val="32"/>
          <w:szCs w:val="32"/>
        </w:rPr>
        <w:t>10%</w:t>
      </w:r>
      <w:r>
        <w:rPr>
          <w:rFonts w:ascii="仿宋_GB2312" w:eastAsia="仿宋_GB2312" w:hint="eastAsia"/>
          <w:sz w:val="32"/>
          <w:szCs w:val="32"/>
        </w:rPr>
        <w:t>，新建项目不得违反规划占用水域。</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前山河流域滨水岸线的规划建设应当划定建设控制地带，保证滨水空间的延续性和完整性，并对</w:t>
      </w:r>
      <w:r>
        <w:rPr>
          <w:rFonts w:ascii="仿宋_GB2312" w:eastAsia="仿宋_GB2312" w:hint="eastAsia"/>
          <w:sz w:val="32"/>
          <w:szCs w:val="32"/>
        </w:rPr>
        <w:t>公众开放；建设控制地带内，只能建设道路基础设施、市政公用设施、旅游设施和公园等。</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前山河流域滨水岸线建设控制地带范围实施分类控制。前山河主河道陆域沿河纵深的建设控制地带不得少于八十米；广昌涌（含沙心涌）、洪湾涌陆域沿河纵深的建设控制地带标准由市政府规定，并向社会公布；前山河流域其他滨水岸线建设控制地带按照相关城乡规划执行，且不得低于相关国家标准。</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在前山河流域禁止新建、改建、扩建下列建设项目：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（一）排放含有持久性有机污染物和含汞、镉、铅、砷、铬等水污染物的项目；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（二）直接向水体排放污染物的餐饮、娱乐项目；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（三）畜禽养殖场、养殖小区等建设项目；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（四）影响受国家保护的野生动植物及其生息环境的建设项目；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（五）法律、法规禁止的其他项目。</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ab/>
      </w:r>
      <w:r>
        <w:rPr>
          <w:rFonts w:ascii="黑体" w:eastAsia="黑体" w:hint="eastAsia"/>
          <w:sz w:val="32"/>
          <w:szCs w:val="32"/>
        </w:rPr>
        <w:t>水污染防治</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前山河流域的水质应当符合水功能区划和水环境功能区划的要求。</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市环保、水行政管理部门应当定期监测前山河水质，及时向社会公布水质状况、水污染防治情况等信息，接受社会监督。</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市环保行政管理部门应当会同市水行政、排水等部门和香洲区政府、高新区管委会划定前山河流域交接断面，设立监测设施，提出交接</w:t>
      </w:r>
      <w:r>
        <w:rPr>
          <w:rFonts w:ascii="仿宋_GB2312" w:eastAsia="仿宋_GB2312" w:hint="eastAsia"/>
          <w:sz w:val="32"/>
          <w:szCs w:val="32"/>
        </w:rPr>
        <w:t>断面水质的阶段性控制目标，明确责任主体、考核奖惩措施、监测单位名称、监测频次、监测项目等内容，并向社会公布。</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前山河流域交接断面水质应当逐步改善，水质状况作为前山河流域综合整治和保护管理目标责任考核的重要内容，具体办法由市政府制定。</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第二十条</w:t>
      </w:r>
      <w:r>
        <w:rPr>
          <w:rFonts w:ascii="仿宋_GB2312" w:eastAsia="仿宋_GB2312" w:hint="eastAsia"/>
          <w:sz w:val="32"/>
          <w:szCs w:val="32"/>
        </w:rPr>
        <w:t xml:space="preserve">  </w:t>
      </w:r>
      <w:r>
        <w:rPr>
          <w:rFonts w:ascii="仿宋_GB2312" w:eastAsia="仿宋_GB2312" w:hint="eastAsia"/>
          <w:sz w:val="32"/>
          <w:szCs w:val="32"/>
        </w:rPr>
        <w:t>市水行政管理部门应当按照水功能区划的水质要求和水体的自然净化能力，核定水域的纳污能力，向市环保行政管理部门提出限制纳污总量意见。市环保行政管理部门根据水污染防治规划和前山河流域限制排污总量，将水污染物排放总量控制指标分解到排污单位并向社会公布。</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市水行政管理部门发现</w:t>
      </w:r>
      <w:r>
        <w:rPr>
          <w:rFonts w:ascii="仿宋_GB2312" w:eastAsia="仿宋_GB2312" w:hint="eastAsia"/>
          <w:sz w:val="32"/>
          <w:szCs w:val="32"/>
        </w:rPr>
        <w:t>前山河流域重点污染物排放总量超过控制指标或者水质未达到水功能区划要求的，应当及时报请市政府或者通告香洲区政府和高新区管委会采取治理措施，并向市环保行政管理部门通报。</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环保行政管理部门应当严格控制流域内污染物新增排放量，对超过重点污染物排放总量控制指标的区、镇、工业园区，暂停审批新增重点水污染物排放总量的建设项目的环境影响评价文件。</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依照前款规定实行区域暂停审批的，环保行政管理部门应当向社会公布区域暂停审批决定。被暂停审批区域应当制定整改方案，削减区域内重点水污染物排放总量。经核查已按期完成整改</w:t>
      </w:r>
      <w:r>
        <w:rPr>
          <w:rFonts w:ascii="仿宋_GB2312" w:eastAsia="仿宋_GB2312" w:hint="eastAsia"/>
          <w:sz w:val="32"/>
          <w:szCs w:val="32"/>
        </w:rPr>
        <w:t>任务的，环保行政管理部门应当解除其区域暂停审批限制，并向社会公布。</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排污单位通过清洁生产和污染治理等措施削减的重点水污染物排放指标，可以由政府进行回购，也可以依照有关规定进行排污权交易。</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环保行政管理部门应当会同有关行政管理部</w:t>
      </w:r>
      <w:r>
        <w:rPr>
          <w:rFonts w:ascii="仿宋_GB2312" w:eastAsia="仿宋_GB2312" w:hint="eastAsia"/>
          <w:sz w:val="32"/>
          <w:szCs w:val="32"/>
        </w:rPr>
        <w:lastRenderedPageBreak/>
        <w:t>门确定重点排污单位名录，并通过政府网站、报刊、广播、电视等便于公众知晓的方式向社会公布。</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重点排污单位应当安装自动监测设备，与环保行政管理部门的监控设备联网，对水污染物排放种类、浓度、流量进行实时监测，实时向社会公布排污情况。</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环保行政管理部门应当在其门户网</w:t>
      </w:r>
      <w:r>
        <w:rPr>
          <w:rFonts w:ascii="仿宋_GB2312" w:eastAsia="仿宋_GB2312" w:hint="eastAsia"/>
          <w:sz w:val="32"/>
          <w:szCs w:val="32"/>
        </w:rPr>
        <w:t>站主页的显著位置实时向社会公布重点排污单位的排污情况。</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市政府应当完善污染物排放标准体系，对前山河流域内污染严重企业实施搬迁改造或者依法关闭。</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市政府、香洲区政府和高新区管委会应当按照职责分工，组织建设覆盖前山河流域的污水处理设施。</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市政府应当统筹协调前山河流域内公共污水管网和污水集中处理设施的规划和建设，加大对污水处理设施建设的资金投入。</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前山河流域城镇污水管网覆盖范围内的生活污水、工业废水，应当按照国家有关规定纳入城镇污水处理设施集中处理。</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前山河流域城市污水处</w:t>
      </w:r>
      <w:r>
        <w:rPr>
          <w:rFonts w:ascii="仿宋_GB2312" w:eastAsia="仿宋_GB2312" w:hint="eastAsia"/>
          <w:sz w:val="32"/>
          <w:szCs w:val="32"/>
        </w:rPr>
        <w:t>理出水水质应当符合国家和地方现行排放标准；不符合国家和地方现行排放标准的，营运单位应当按期完成升级改造。</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任何单位和个人未经许可不得在前山河流域水体设置入河排污口，不得排放超过国家和地方规定的水污染物排放标准以及不符合所在水功能区划和水环境功能区划水质要求的水污染物。</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水行政管理部门应当对前山河流域内入河排污口进行调查，对每个入河排污口登记造册，建立档案资料，定期监测入河排污口出水水质达标情况，并向社会公布。</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市政府、香洲区政府和高新区管委会应当对前山河流域水体进行排查，公布黑臭</w:t>
      </w:r>
      <w:r>
        <w:rPr>
          <w:rFonts w:ascii="仿宋_GB2312" w:eastAsia="仿宋_GB2312" w:hint="eastAsia"/>
          <w:sz w:val="32"/>
          <w:szCs w:val="32"/>
        </w:rPr>
        <w:t>水体名称、责任人及达标期限，有计划地开展综合整治，并每半年向社会公开治理情况。</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前山河流域突发水污染事件时，市有关部门和香洲区政府、高新区管委会应当按照突发环境事件应急预案的要求，立即启动水污染事故应急预案，发布安全预警通知，进行应急处置，采取有效措施防治污染。</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第四章</w:t>
      </w:r>
      <w:r>
        <w:rPr>
          <w:rFonts w:ascii="黑体" w:eastAsia="黑体" w:hint="eastAsia"/>
          <w:sz w:val="32"/>
          <w:szCs w:val="32"/>
        </w:rPr>
        <w:tab/>
      </w:r>
      <w:r>
        <w:rPr>
          <w:rFonts w:ascii="黑体" w:eastAsia="黑体" w:hint="eastAsia"/>
          <w:sz w:val="32"/>
          <w:szCs w:val="32"/>
        </w:rPr>
        <w:t>生态保护</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市政府应当建立前山河流域河涌、水库、湖塘分级分类监管体系，按照水功能区划和水环境功能区划实行水生态保护和用途管制。</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市规划行政管理部门应当划定前山河流域生态控制线，明确湿地公园、城市绿地、生态廊道等的保护控制范围。</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市水行政管理部门应当划定前山河流域河涌管理范围，设立界桩、管理和保护标志，明确河涌管理范围，闸坝、生态堤岸等水利设施保护范围的用地界限。</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市水行政管理部门应当编制并实施前山河外江引水调度方案，采取闸坝联合调度、生态补水、清淤疏浚等措施，合理管控河涌生态用水需求，保障河道生态流量。</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市、区有关行政管理部门应当在各自职责范围内开展前山河流域专项整治或者联合开展综合整治</w:t>
      </w:r>
      <w:r>
        <w:rPr>
          <w:rFonts w:ascii="仿宋_GB2312" w:eastAsia="仿宋_GB2312" w:hint="eastAsia"/>
          <w:sz w:val="32"/>
          <w:szCs w:val="32"/>
        </w:rPr>
        <w:t>，控制点源和面源污染，削减河道内源污染，修复水生态功能。</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市政府、香洲区政府和高新区管委会应当加强前山河流域河涌整治，保障河涌行洪畅通；定期开展河道测量，采取生态护岸、清淤疏浚和生态系统修复等措施，保持河流自然流向和河道自然形态；加强规划建设河涌沿岸植被，增加透水路面面积，逐步消除地表径流对河涌水体污染。</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市政府、香洲区政府和高新区管委会建立健全河涌保洁工作责任制，前山河流域河涌水面由相关部门通过招投标等公平竞争方式确定保洁单位。</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市政府、香洲区政府和高新区管委会应当推进前山河流域湿地公园、雨水花园建设，加强自然湿地生态保护，开展湿地生态修复、水污染治理、生物多样性保育和景观配套建设。</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香洲区政府和高新区管委会负责组织构建绿色生态水网体系，在前山河河岸营建防护绿带，修复拓展河涌两岸、滨水景观林带，推进河岸绿化美化和公共绿地建设，优化绿色休闲空间，改善宜居生态环境。</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在前山河水域禁止下列行为：</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（一）洗刷装贮过油类、有毒污染物的容器或者车辆；</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（二）毒鱼、炸鱼、电鱼等活动；</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（三）擅自开展水生生物增殖放流</w:t>
      </w:r>
      <w:r>
        <w:rPr>
          <w:rFonts w:ascii="仿宋_GB2312" w:eastAsia="仿宋_GB2312" w:hint="eastAsia"/>
          <w:sz w:val="32"/>
          <w:szCs w:val="32"/>
        </w:rPr>
        <w:t>活动；</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（四）随意倾倒、抛撒、焚烧或者堆放垃圾；</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（五）法律、法规禁止的其他行为。</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未经批准，前山河流域不得设置废品收购站；生活垃圾收集点应当严格按照相关规划、国家和省的有关技术标准和要求进行设置。</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工业、危险废物的堆放、运输和处置等应当符合有关法律、法规规定。</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ab/>
      </w:r>
      <w:r>
        <w:rPr>
          <w:rFonts w:ascii="黑体" w:eastAsia="黑体" w:hint="eastAsia"/>
          <w:sz w:val="32"/>
          <w:szCs w:val="32"/>
        </w:rPr>
        <w:t>法律责任</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行政机关及其工作人员违反本条例规定，未履行相关职责，有下列情形之一的，由主管机关或者监察机关责令改正；情节严重的，对负有直接责任的主管人员和其他直接责任人员依法给予处分；构成犯罪的，依法追究刑事责任：</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（一）违反本条例第九条第二款、第十五条、第十八条第二款、第十九条第一款、第二十一条第二款、第二十三条、第二十七条第二款、第二十八条的规定，未依法公开应当向社会公布的有关信息的；</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（二）违反本条例第十二条、第十三条的规定，未按规定编制前山河流域综合规划的；</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（三）违反本条例第十六条规定，未划定建设控制地带的；</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（四）违反本条例第二十八条规定，未对前山河流域水体进行排查并有计划地开展综合整治的；</w:t>
      </w:r>
    </w:p>
    <w:p w:rsidR="008E0709" w:rsidRDefault="009912F0" w:rsidP="00BD5937">
      <w:pPr>
        <w:spacing w:line="590" w:lineRule="exact"/>
        <w:ind w:firstLineChars="200" w:firstLine="640"/>
        <w:rPr>
          <w:rFonts w:ascii="仿宋_GB2312" w:eastAsia="仿宋_GB2312"/>
          <w:sz w:val="32"/>
          <w:szCs w:val="32"/>
        </w:rPr>
      </w:pPr>
      <w:r>
        <w:rPr>
          <w:rFonts w:ascii="仿宋_GB2312" w:eastAsia="仿宋_GB2312" w:hint="eastAsia"/>
          <w:sz w:val="32"/>
          <w:szCs w:val="32"/>
        </w:rPr>
        <w:t>（五）违反本条例规定，对发现的违法行为不依法查处，以及未依法履行职责的其他情形。</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违反本条例第十七条规定，在前山河流域新建、改建、扩建禁止建设项目的，由市政府责令停止建设或者关闭。</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违反本条例第三十八条第一项规定，洗刷装贮过油类、有毒污染物的容器或者车辆的，由环保行政管理部门处以一万元以上十万元以下的罚款。</w:t>
      </w:r>
      <w:r>
        <w:rPr>
          <w:rFonts w:ascii="仿宋_GB2312" w:eastAsia="仿宋_GB2312" w:hint="eastAsia"/>
          <w:sz w:val="32"/>
          <w:szCs w:val="32"/>
        </w:rPr>
        <w:t xml:space="preserve"> </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违反本条例第三十八条第二项规定，实施毒鱼、炸鱼、电鱼等活动的，由渔业行政管理部门没收渔获物和违法所得，处以五万元以下的罚款；情节严重的，并处没收渔具，吊销捕捞许可证；情节特别严重的，可以并处没收渔船。</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违反本条例第三十八条第三项规定，擅</w:t>
      </w:r>
      <w:r>
        <w:rPr>
          <w:rFonts w:ascii="仿宋_GB2312" w:eastAsia="仿宋_GB2312" w:hint="eastAsia"/>
          <w:sz w:val="32"/>
          <w:szCs w:val="32"/>
        </w:rPr>
        <w:t>自开展水生生物增殖放流活动的，由渔业行政管理部门责令改正，予以警告；拒不改正的，处五千元以上二万元以下罚款。</w:t>
      </w: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违反本条例第三十八条第四项规定，随意倾倒、抛撒、焚烧或者堆放垃圾的，由城市管理行政执法部门对单位处以五千元以上五万元以下的罚款，对个人处以二百元以下的罚款。</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jc w:val="center"/>
        <w:rPr>
          <w:rFonts w:ascii="黑体" w:eastAsia="黑体"/>
          <w:sz w:val="32"/>
          <w:szCs w:val="32"/>
        </w:rPr>
      </w:pPr>
      <w:r>
        <w:rPr>
          <w:rFonts w:ascii="黑体" w:eastAsia="黑体" w:hint="eastAsia"/>
          <w:sz w:val="32"/>
          <w:szCs w:val="32"/>
        </w:rPr>
        <w:t>第六章</w:t>
      </w:r>
      <w:r>
        <w:rPr>
          <w:rFonts w:ascii="黑体" w:eastAsia="黑体" w:hint="eastAsia"/>
          <w:sz w:val="32"/>
          <w:szCs w:val="32"/>
        </w:rPr>
        <w:tab/>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8E0709" w:rsidRDefault="008E0709" w:rsidP="00BD5937">
      <w:pPr>
        <w:spacing w:line="590" w:lineRule="exact"/>
        <w:ind w:firstLineChars="200" w:firstLine="640"/>
        <w:rPr>
          <w:rFonts w:ascii="仿宋_GB2312" w:eastAsia="仿宋_GB2312"/>
          <w:sz w:val="32"/>
          <w:szCs w:val="32"/>
        </w:rPr>
      </w:pPr>
    </w:p>
    <w:p w:rsidR="008E0709" w:rsidRDefault="009912F0" w:rsidP="00BD5937">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7</w:t>
      </w:r>
      <w:r>
        <w:rPr>
          <w:rFonts w:ascii="仿宋_GB2312" w:eastAsia="仿宋_GB2312" w:hint="eastAsia"/>
          <w:sz w:val="32"/>
          <w:szCs w:val="32"/>
        </w:rPr>
        <w:t>月</w:t>
      </w:r>
      <w:r>
        <w:rPr>
          <w:rFonts w:ascii="仿宋_GB2312" w:eastAsia="仿宋_GB2312" w:hint="eastAsia"/>
          <w:sz w:val="32"/>
          <w:szCs w:val="32"/>
        </w:rPr>
        <w:t>28</w:t>
      </w:r>
      <w:r>
        <w:rPr>
          <w:rFonts w:ascii="仿宋_GB2312" w:eastAsia="仿宋_GB2312" w:hint="eastAsia"/>
          <w:sz w:val="32"/>
          <w:szCs w:val="32"/>
        </w:rPr>
        <w:t>日起施行。</w:t>
      </w:r>
    </w:p>
    <w:p w:rsidR="008E0709" w:rsidRDefault="008E0709" w:rsidP="00BD5937">
      <w:pPr>
        <w:spacing w:line="590" w:lineRule="exact"/>
        <w:rPr>
          <w:rFonts w:ascii="仿宋_GB2312" w:eastAsia="仿宋_GB2312"/>
          <w:sz w:val="32"/>
          <w:szCs w:val="32"/>
        </w:rPr>
      </w:pPr>
    </w:p>
    <w:sectPr w:rsidR="008E0709" w:rsidSect="00BD5937">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2F0" w:rsidRDefault="009912F0" w:rsidP="008E0709">
      <w:r>
        <w:separator/>
      </w:r>
    </w:p>
  </w:endnote>
  <w:endnote w:type="continuationSeparator" w:id="1">
    <w:p w:rsidR="009912F0" w:rsidRDefault="009912F0" w:rsidP="008E07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09" w:rsidRDefault="009912F0">
    <w:pPr>
      <w:pStyle w:val="a4"/>
      <w:ind w:leftChars="100" w:left="210"/>
      <w:rPr>
        <w:rFonts w:ascii="宋体" w:hAnsi="宋体"/>
        <w:sz w:val="28"/>
        <w:szCs w:val="28"/>
      </w:rPr>
    </w:pPr>
    <w:r>
      <w:rPr>
        <w:rFonts w:ascii="宋体" w:hAnsi="宋体" w:hint="eastAsia"/>
        <w:sz w:val="28"/>
        <w:szCs w:val="28"/>
      </w:rPr>
      <w:t xml:space="preserve">- </w:t>
    </w:r>
    <w:r w:rsidR="008E0709">
      <w:rPr>
        <w:rFonts w:ascii="宋体" w:hAnsi="宋体"/>
        <w:sz w:val="28"/>
        <w:szCs w:val="28"/>
      </w:rPr>
      <w:fldChar w:fldCharType="begin"/>
    </w:r>
    <w:r>
      <w:rPr>
        <w:rFonts w:ascii="宋体" w:hAnsi="宋体"/>
        <w:sz w:val="28"/>
        <w:szCs w:val="28"/>
      </w:rPr>
      <w:instrText xml:space="preserve"> PAGE   \* MERGEFORMAT </w:instrText>
    </w:r>
    <w:r w:rsidR="008E0709">
      <w:rPr>
        <w:rFonts w:ascii="宋体" w:hAnsi="宋体"/>
        <w:sz w:val="28"/>
        <w:szCs w:val="28"/>
      </w:rPr>
      <w:fldChar w:fldCharType="separate"/>
    </w:r>
    <w:r w:rsidR="00BD5937" w:rsidRPr="00BD5937">
      <w:rPr>
        <w:rFonts w:ascii="宋体" w:hAnsi="宋体"/>
        <w:noProof/>
        <w:sz w:val="28"/>
        <w:szCs w:val="28"/>
        <w:lang w:val="zh-CN"/>
      </w:rPr>
      <w:t>2</w:t>
    </w:r>
    <w:r w:rsidR="008E0709">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0709" w:rsidRDefault="009912F0">
    <w:pPr>
      <w:pStyle w:val="a4"/>
      <w:ind w:rightChars="100" w:right="210"/>
      <w:jc w:val="right"/>
      <w:rPr>
        <w:rFonts w:ascii="宋体" w:hAnsi="宋体"/>
        <w:sz w:val="28"/>
        <w:szCs w:val="28"/>
      </w:rPr>
    </w:pPr>
    <w:r>
      <w:rPr>
        <w:rFonts w:ascii="宋体" w:hAnsi="宋体" w:hint="eastAsia"/>
        <w:sz w:val="28"/>
        <w:szCs w:val="28"/>
      </w:rPr>
      <w:t xml:space="preserve">- </w:t>
    </w:r>
    <w:r w:rsidR="008E0709">
      <w:rPr>
        <w:rFonts w:ascii="宋体" w:hAnsi="宋体"/>
        <w:sz w:val="28"/>
        <w:szCs w:val="28"/>
      </w:rPr>
      <w:fldChar w:fldCharType="begin"/>
    </w:r>
    <w:r>
      <w:rPr>
        <w:rFonts w:ascii="宋体" w:hAnsi="宋体"/>
        <w:sz w:val="28"/>
        <w:szCs w:val="28"/>
      </w:rPr>
      <w:instrText xml:space="preserve"> PAGE   \* MERGEFORMAT </w:instrText>
    </w:r>
    <w:r w:rsidR="008E0709">
      <w:rPr>
        <w:rFonts w:ascii="宋体" w:hAnsi="宋体"/>
        <w:sz w:val="28"/>
        <w:szCs w:val="28"/>
      </w:rPr>
      <w:fldChar w:fldCharType="separate"/>
    </w:r>
    <w:r w:rsidR="00BD5937" w:rsidRPr="00BD5937">
      <w:rPr>
        <w:rFonts w:ascii="宋体" w:hAnsi="宋体"/>
        <w:noProof/>
        <w:sz w:val="28"/>
        <w:szCs w:val="28"/>
        <w:lang w:val="zh-CN"/>
      </w:rPr>
      <w:t>1</w:t>
    </w:r>
    <w:r w:rsidR="008E0709">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2F0" w:rsidRDefault="009912F0" w:rsidP="008E0709">
      <w:r>
        <w:separator/>
      </w:r>
    </w:p>
  </w:footnote>
  <w:footnote w:type="continuationSeparator" w:id="1">
    <w:p w:rsidR="009912F0" w:rsidRDefault="009912F0" w:rsidP="008E070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F44B6"/>
    <w:rsid w:val="000F5903"/>
    <w:rsid w:val="00132960"/>
    <w:rsid w:val="001F74F1"/>
    <w:rsid w:val="0022209B"/>
    <w:rsid w:val="00267831"/>
    <w:rsid w:val="002917DC"/>
    <w:rsid w:val="002A26F4"/>
    <w:rsid w:val="002F14AD"/>
    <w:rsid w:val="002F50A1"/>
    <w:rsid w:val="00303089"/>
    <w:rsid w:val="003D4C83"/>
    <w:rsid w:val="003D7D20"/>
    <w:rsid w:val="00421636"/>
    <w:rsid w:val="00432A35"/>
    <w:rsid w:val="00454E7C"/>
    <w:rsid w:val="00456C3E"/>
    <w:rsid w:val="00474757"/>
    <w:rsid w:val="004F7615"/>
    <w:rsid w:val="005074BC"/>
    <w:rsid w:val="00516543"/>
    <w:rsid w:val="00525904"/>
    <w:rsid w:val="005617A8"/>
    <w:rsid w:val="00567C9C"/>
    <w:rsid w:val="005F35A9"/>
    <w:rsid w:val="00637FA6"/>
    <w:rsid w:val="006C3B81"/>
    <w:rsid w:val="006C68A2"/>
    <w:rsid w:val="00723321"/>
    <w:rsid w:val="007500B9"/>
    <w:rsid w:val="00837745"/>
    <w:rsid w:val="008D058E"/>
    <w:rsid w:val="008E0709"/>
    <w:rsid w:val="00916B88"/>
    <w:rsid w:val="009442B9"/>
    <w:rsid w:val="009912F0"/>
    <w:rsid w:val="00B223A8"/>
    <w:rsid w:val="00BA5259"/>
    <w:rsid w:val="00BC309D"/>
    <w:rsid w:val="00BD5937"/>
    <w:rsid w:val="00C05385"/>
    <w:rsid w:val="00C51342"/>
    <w:rsid w:val="00D35380"/>
    <w:rsid w:val="00EE702D"/>
    <w:rsid w:val="00F404BE"/>
    <w:rsid w:val="00F47AC6"/>
    <w:rsid w:val="00F5076B"/>
    <w:rsid w:val="00FB30E5"/>
    <w:rsid w:val="00FD1016"/>
    <w:rsid w:val="58DF356A"/>
    <w:rsid w:val="67C61E20"/>
    <w:rsid w:val="6CE221C7"/>
    <w:rsid w:val="79B219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070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E0709"/>
    <w:rPr>
      <w:sz w:val="18"/>
      <w:szCs w:val="18"/>
    </w:rPr>
  </w:style>
  <w:style w:type="paragraph" w:styleId="a4">
    <w:name w:val="footer"/>
    <w:basedOn w:val="a"/>
    <w:link w:val="Char"/>
    <w:uiPriority w:val="99"/>
    <w:rsid w:val="008E0709"/>
    <w:pPr>
      <w:tabs>
        <w:tab w:val="center" w:pos="4153"/>
        <w:tab w:val="right" w:pos="8306"/>
      </w:tabs>
      <w:snapToGrid w:val="0"/>
      <w:jc w:val="left"/>
    </w:pPr>
    <w:rPr>
      <w:sz w:val="18"/>
      <w:szCs w:val="18"/>
    </w:rPr>
  </w:style>
  <w:style w:type="paragraph" w:styleId="a5">
    <w:name w:val="header"/>
    <w:basedOn w:val="a"/>
    <w:link w:val="Char0"/>
    <w:rsid w:val="008E0709"/>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8E0709"/>
    <w:rPr>
      <w:szCs w:val="20"/>
    </w:rPr>
  </w:style>
  <w:style w:type="paragraph" w:customStyle="1" w:styleId="p0">
    <w:name w:val="p0"/>
    <w:basedOn w:val="a"/>
    <w:rsid w:val="008E0709"/>
    <w:pPr>
      <w:widowControl/>
    </w:pPr>
    <w:rPr>
      <w:kern w:val="0"/>
      <w:szCs w:val="21"/>
    </w:rPr>
  </w:style>
  <w:style w:type="paragraph" w:customStyle="1" w:styleId="CharChar5">
    <w:name w:val="Char Char5"/>
    <w:basedOn w:val="a"/>
    <w:rsid w:val="008E0709"/>
    <w:pPr>
      <w:tabs>
        <w:tab w:val="left" w:pos="420"/>
      </w:tabs>
      <w:spacing w:line="360" w:lineRule="auto"/>
    </w:pPr>
  </w:style>
  <w:style w:type="paragraph" w:customStyle="1" w:styleId="1">
    <w:name w:val="列出段落1"/>
    <w:basedOn w:val="a"/>
    <w:rsid w:val="008E0709"/>
    <w:pPr>
      <w:ind w:firstLineChars="200" w:firstLine="420"/>
    </w:pPr>
    <w:rPr>
      <w:rFonts w:ascii="Calibri" w:hAnsi="Calibri"/>
      <w:szCs w:val="22"/>
    </w:rPr>
  </w:style>
  <w:style w:type="paragraph" w:customStyle="1" w:styleId="CharCharCharCharChar">
    <w:name w:val="Char Char Char Char Char"/>
    <w:basedOn w:val="a"/>
    <w:rsid w:val="008E0709"/>
    <w:pPr>
      <w:tabs>
        <w:tab w:val="left" w:pos="420"/>
      </w:tabs>
      <w:spacing w:beforeLines="50" w:afterLines="50" w:line="312" w:lineRule="auto"/>
      <w:ind w:left="420" w:hanging="420"/>
    </w:pPr>
  </w:style>
  <w:style w:type="paragraph" w:customStyle="1" w:styleId="Char1">
    <w:name w:val="Char"/>
    <w:basedOn w:val="a"/>
    <w:rsid w:val="008E0709"/>
    <w:pPr>
      <w:widowControl/>
      <w:spacing w:after="160" w:line="240" w:lineRule="exact"/>
      <w:jc w:val="left"/>
    </w:pPr>
  </w:style>
  <w:style w:type="paragraph" w:customStyle="1" w:styleId="p18">
    <w:name w:val="p18"/>
    <w:basedOn w:val="a"/>
    <w:rsid w:val="008E0709"/>
    <w:pPr>
      <w:widowControl/>
    </w:pPr>
    <w:rPr>
      <w:kern w:val="0"/>
      <w:szCs w:val="21"/>
    </w:rPr>
  </w:style>
  <w:style w:type="character" w:customStyle="1" w:styleId="Char0">
    <w:name w:val="页眉 Char"/>
    <w:basedOn w:val="a0"/>
    <w:link w:val="a5"/>
    <w:rsid w:val="008E0709"/>
    <w:rPr>
      <w:kern w:val="2"/>
      <w:sz w:val="18"/>
      <w:szCs w:val="18"/>
    </w:rPr>
  </w:style>
  <w:style w:type="character" w:customStyle="1" w:styleId="Char">
    <w:name w:val="页脚 Char"/>
    <w:basedOn w:val="a0"/>
    <w:link w:val="a4"/>
    <w:uiPriority w:val="99"/>
    <w:rsid w:val="008E070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2015-04-13T01:14:00Z</dcterms:created>
  <dcterms:modified xsi:type="dcterms:W3CDTF">2017-03-24T02:45:00Z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