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029" w:rsidRDefault="008F6029" w:rsidP="008F6029">
      <w:pPr>
        <w:tabs>
          <w:tab w:val="left" w:pos="8505"/>
        </w:tabs>
        <w:overflowPunct w:val="0"/>
        <w:spacing w:line="600" w:lineRule="exact"/>
        <w:rPr>
          <w:rFonts w:eastAsia="仿宋_GB2312" w:hint="eastAsia"/>
          <w:kern w:val="0"/>
          <w:sz w:val="32"/>
          <w:szCs w:val="32"/>
        </w:rPr>
      </w:pPr>
    </w:p>
    <w:p w:rsidR="008F6029" w:rsidRPr="00CC5582" w:rsidRDefault="008F6029" w:rsidP="008F6029">
      <w:pPr>
        <w:tabs>
          <w:tab w:val="left" w:pos="8505"/>
        </w:tabs>
        <w:overflowPunct w:val="0"/>
        <w:spacing w:line="600" w:lineRule="exact"/>
        <w:jc w:val="center"/>
        <w:rPr>
          <w:rFonts w:ascii="宋体" w:hAnsi="宋体" w:hint="eastAsia"/>
          <w:kern w:val="0"/>
          <w:sz w:val="44"/>
          <w:szCs w:val="44"/>
        </w:rPr>
      </w:pPr>
      <w:r w:rsidRPr="00CC5582">
        <w:rPr>
          <w:rFonts w:ascii="宋体" w:hAnsi="宋体" w:hint="eastAsia"/>
          <w:kern w:val="0"/>
          <w:sz w:val="44"/>
          <w:szCs w:val="44"/>
        </w:rPr>
        <w:t>广西壮族自治区投资促进条例</w:t>
      </w:r>
    </w:p>
    <w:p w:rsidR="008F6029" w:rsidRPr="00CC5582" w:rsidRDefault="008F6029" w:rsidP="008F6029">
      <w:pPr>
        <w:tabs>
          <w:tab w:val="left" w:pos="8505"/>
        </w:tabs>
        <w:overflowPunct w:val="0"/>
        <w:spacing w:line="600" w:lineRule="exact"/>
        <w:jc w:val="center"/>
        <w:rPr>
          <w:rFonts w:eastAsia="仿宋_GB2312"/>
          <w:kern w:val="0"/>
          <w:sz w:val="32"/>
          <w:szCs w:val="32"/>
        </w:rPr>
      </w:pPr>
    </w:p>
    <w:p w:rsidR="008F6029" w:rsidRPr="000A31B8" w:rsidRDefault="008F6029" w:rsidP="008F6029">
      <w:pPr>
        <w:tabs>
          <w:tab w:val="left" w:pos="8505"/>
        </w:tabs>
        <w:overflowPunct w:val="0"/>
        <w:spacing w:line="600" w:lineRule="exact"/>
        <w:jc w:val="center"/>
        <w:rPr>
          <w:rFonts w:eastAsia="楷体_GB2312"/>
          <w:kern w:val="0"/>
          <w:sz w:val="32"/>
          <w:szCs w:val="32"/>
        </w:rPr>
      </w:pPr>
      <w:r w:rsidRPr="000A31B8">
        <w:rPr>
          <w:rFonts w:eastAsia="楷体_GB2312"/>
          <w:kern w:val="0"/>
          <w:sz w:val="32"/>
          <w:szCs w:val="32"/>
        </w:rPr>
        <w:t>（</w:t>
      </w:r>
      <w:smartTag w:uri="urn:schemas-microsoft-com:office:smarttags" w:element="chsdate">
        <w:smartTagPr>
          <w:attr w:name="Year" w:val="2021"/>
          <w:attr w:name="Month" w:val="7"/>
          <w:attr w:name="Day" w:val="28"/>
          <w:attr w:name="IsLunarDate" w:val="False"/>
          <w:attr w:name="IsROCDate" w:val="False"/>
        </w:smartTagPr>
        <w:r w:rsidRPr="000A31B8">
          <w:rPr>
            <w:rFonts w:eastAsia="楷体_GB2312"/>
            <w:kern w:val="0"/>
            <w:sz w:val="32"/>
            <w:szCs w:val="32"/>
          </w:rPr>
          <w:t>2021</w:t>
        </w:r>
        <w:r w:rsidRPr="000A31B8">
          <w:rPr>
            <w:rFonts w:eastAsia="楷体_GB2312"/>
            <w:kern w:val="0"/>
            <w:sz w:val="32"/>
            <w:szCs w:val="32"/>
          </w:rPr>
          <w:t>年</w:t>
        </w:r>
        <w:r w:rsidRPr="000A31B8">
          <w:rPr>
            <w:rFonts w:eastAsia="楷体_GB2312"/>
            <w:kern w:val="0"/>
            <w:sz w:val="32"/>
            <w:szCs w:val="32"/>
          </w:rPr>
          <w:t>7</w:t>
        </w:r>
        <w:r w:rsidRPr="000A31B8">
          <w:rPr>
            <w:rFonts w:eastAsia="楷体_GB2312"/>
            <w:kern w:val="0"/>
            <w:sz w:val="32"/>
            <w:szCs w:val="32"/>
          </w:rPr>
          <w:t>月</w:t>
        </w:r>
        <w:r w:rsidRPr="000A31B8">
          <w:rPr>
            <w:rFonts w:eastAsia="楷体_GB2312"/>
            <w:kern w:val="0"/>
            <w:sz w:val="32"/>
            <w:szCs w:val="32"/>
          </w:rPr>
          <w:t>28</w:t>
        </w:r>
        <w:r w:rsidRPr="000A31B8">
          <w:rPr>
            <w:rFonts w:eastAsia="楷体_GB2312"/>
            <w:kern w:val="0"/>
            <w:sz w:val="32"/>
            <w:szCs w:val="32"/>
          </w:rPr>
          <w:t>日</w:t>
        </w:r>
      </w:smartTag>
      <w:r w:rsidRPr="000A31B8">
        <w:rPr>
          <w:rFonts w:eastAsia="楷体_GB2312"/>
          <w:kern w:val="0"/>
          <w:sz w:val="32"/>
          <w:szCs w:val="32"/>
        </w:rPr>
        <w:t>广西壮族自治区第十三届</w:t>
      </w:r>
    </w:p>
    <w:p w:rsidR="008F6029" w:rsidRPr="000A31B8" w:rsidRDefault="008F6029" w:rsidP="008F6029">
      <w:pPr>
        <w:tabs>
          <w:tab w:val="left" w:pos="8505"/>
        </w:tabs>
        <w:overflowPunct w:val="0"/>
        <w:spacing w:line="600" w:lineRule="exact"/>
        <w:jc w:val="center"/>
        <w:rPr>
          <w:rFonts w:eastAsia="楷体_GB2312"/>
          <w:kern w:val="0"/>
          <w:sz w:val="32"/>
          <w:szCs w:val="32"/>
        </w:rPr>
      </w:pPr>
      <w:r w:rsidRPr="000A31B8">
        <w:rPr>
          <w:rFonts w:eastAsia="楷体_GB2312"/>
          <w:kern w:val="0"/>
          <w:sz w:val="32"/>
          <w:szCs w:val="32"/>
        </w:rPr>
        <w:t>人民代表大会常务委员会第二十四次会议通过）</w:t>
      </w:r>
    </w:p>
    <w:p w:rsidR="008F6029" w:rsidRPr="00CC5582" w:rsidRDefault="008F6029" w:rsidP="008F6029">
      <w:pPr>
        <w:tabs>
          <w:tab w:val="left" w:pos="8505"/>
        </w:tabs>
        <w:overflowPunct w:val="0"/>
        <w:spacing w:line="600" w:lineRule="exact"/>
        <w:rPr>
          <w:rFonts w:eastAsia="仿宋_GB2312"/>
          <w:kern w:val="0"/>
          <w:sz w:val="32"/>
          <w:szCs w:val="32"/>
        </w:rPr>
      </w:pPr>
    </w:p>
    <w:p w:rsidR="008F6029" w:rsidRPr="00CC5582" w:rsidRDefault="008F6029" w:rsidP="008F6029">
      <w:pPr>
        <w:tabs>
          <w:tab w:val="left" w:pos="8505"/>
        </w:tabs>
        <w:overflowPunct w:val="0"/>
        <w:spacing w:line="600" w:lineRule="exact"/>
        <w:jc w:val="center"/>
        <w:rPr>
          <w:rFonts w:ascii="楷体_GB2312" w:eastAsia="楷体_GB2312" w:hint="eastAsia"/>
          <w:kern w:val="0"/>
          <w:sz w:val="32"/>
          <w:szCs w:val="32"/>
        </w:rPr>
      </w:pPr>
      <w:r w:rsidRPr="00CC5582">
        <w:rPr>
          <w:rFonts w:ascii="楷体_GB2312" w:eastAsia="楷体_GB2312" w:hint="eastAsia"/>
          <w:kern w:val="0"/>
          <w:sz w:val="32"/>
          <w:szCs w:val="32"/>
        </w:rPr>
        <w:t>目    录</w:t>
      </w:r>
    </w:p>
    <w:p w:rsidR="008F6029" w:rsidRPr="00CC5582" w:rsidRDefault="008F6029" w:rsidP="008F6029">
      <w:pPr>
        <w:tabs>
          <w:tab w:val="left" w:pos="8505"/>
        </w:tabs>
        <w:overflowPunct w:val="0"/>
        <w:spacing w:line="600" w:lineRule="exact"/>
        <w:rPr>
          <w:rFonts w:ascii="楷体_GB2312" w:eastAsia="楷体_GB2312" w:hint="eastAsia"/>
          <w:kern w:val="0"/>
          <w:sz w:val="32"/>
          <w:szCs w:val="32"/>
        </w:rPr>
      </w:pPr>
    </w:p>
    <w:p w:rsidR="008F6029" w:rsidRPr="00CC5582" w:rsidRDefault="008F6029" w:rsidP="008F6029">
      <w:pPr>
        <w:tabs>
          <w:tab w:val="left" w:pos="8505"/>
        </w:tabs>
        <w:overflowPunct w:val="0"/>
        <w:spacing w:line="600" w:lineRule="exact"/>
        <w:ind w:firstLineChars="200" w:firstLine="640"/>
        <w:rPr>
          <w:rFonts w:ascii="楷体_GB2312" w:eastAsia="楷体_GB2312" w:hint="eastAsia"/>
          <w:kern w:val="0"/>
          <w:sz w:val="32"/>
          <w:szCs w:val="32"/>
        </w:rPr>
      </w:pPr>
      <w:r w:rsidRPr="00CC5582">
        <w:rPr>
          <w:rFonts w:ascii="楷体_GB2312" w:eastAsia="楷体_GB2312" w:hint="eastAsia"/>
          <w:kern w:val="0"/>
          <w:sz w:val="32"/>
          <w:szCs w:val="32"/>
        </w:rPr>
        <w:t>第一章  总则</w:t>
      </w:r>
    </w:p>
    <w:p w:rsidR="008F6029" w:rsidRPr="00CC5582" w:rsidRDefault="008F6029" w:rsidP="008F6029">
      <w:pPr>
        <w:tabs>
          <w:tab w:val="left" w:pos="8505"/>
        </w:tabs>
        <w:overflowPunct w:val="0"/>
        <w:spacing w:line="600" w:lineRule="exact"/>
        <w:ind w:firstLineChars="200" w:firstLine="640"/>
        <w:rPr>
          <w:rFonts w:ascii="楷体_GB2312" w:eastAsia="楷体_GB2312" w:hint="eastAsia"/>
          <w:kern w:val="0"/>
          <w:sz w:val="32"/>
          <w:szCs w:val="32"/>
        </w:rPr>
      </w:pPr>
      <w:r w:rsidRPr="00CC5582">
        <w:rPr>
          <w:rFonts w:ascii="楷体_GB2312" w:eastAsia="楷体_GB2312" w:hint="eastAsia"/>
          <w:kern w:val="0"/>
          <w:sz w:val="32"/>
          <w:szCs w:val="32"/>
        </w:rPr>
        <w:t>第二章  投资引导</w:t>
      </w:r>
    </w:p>
    <w:p w:rsidR="008F6029" w:rsidRPr="00CC5582" w:rsidRDefault="008F6029" w:rsidP="008F6029">
      <w:pPr>
        <w:tabs>
          <w:tab w:val="left" w:pos="8505"/>
        </w:tabs>
        <w:overflowPunct w:val="0"/>
        <w:spacing w:line="600" w:lineRule="exact"/>
        <w:ind w:firstLineChars="200" w:firstLine="640"/>
        <w:rPr>
          <w:rFonts w:ascii="楷体_GB2312" w:eastAsia="楷体_GB2312" w:hint="eastAsia"/>
          <w:kern w:val="0"/>
          <w:sz w:val="32"/>
          <w:szCs w:val="32"/>
        </w:rPr>
      </w:pPr>
      <w:r w:rsidRPr="00CC5582">
        <w:rPr>
          <w:rFonts w:ascii="楷体_GB2312" w:eastAsia="楷体_GB2312" w:hint="eastAsia"/>
          <w:kern w:val="0"/>
          <w:sz w:val="32"/>
          <w:szCs w:val="32"/>
        </w:rPr>
        <w:t>第三章  投资服务</w:t>
      </w:r>
    </w:p>
    <w:p w:rsidR="008F6029" w:rsidRPr="00CC5582" w:rsidRDefault="008F6029" w:rsidP="008F6029">
      <w:pPr>
        <w:tabs>
          <w:tab w:val="left" w:pos="8505"/>
        </w:tabs>
        <w:overflowPunct w:val="0"/>
        <w:spacing w:line="600" w:lineRule="exact"/>
        <w:ind w:firstLineChars="200" w:firstLine="640"/>
        <w:rPr>
          <w:rFonts w:ascii="楷体_GB2312" w:eastAsia="楷体_GB2312" w:hint="eastAsia"/>
          <w:kern w:val="0"/>
          <w:sz w:val="32"/>
          <w:szCs w:val="32"/>
        </w:rPr>
      </w:pPr>
      <w:r w:rsidRPr="00CC5582">
        <w:rPr>
          <w:rFonts w:ascii="楷体_GB2312" w:eastAsia="楷体_GB2312" w:hint="eastAsia"/>
          <w:kern w:val="0"/>
          <w:sz w:val="32"/>
          <w:szCs w:val="32"/>
        </w:rPr>
        <w:t>第四章  权益保障</w:t>
      </w:r>
    </w:p>
    <w:p w:rsidR="008F6029" w:rsidRPr="00CC5582" w:rsidRDefault="008F6029" w:rsidP="008F6029">
      <w:pPr>
        <w:tabs>
          <w:tab w:val="left" w:pos="8505"/>
        </w:tabs>
        <w:overflowPunct w:val="0"/>
        <w:spacing w:line="600" w:lineRule="exact"/>
        <w:ind w:firstLineChars="200" w:firstLine="640"/>
        <w:rPr>
          <w:rFonts w:ascii="楷体_GB2312" w:eastAsia="楷体_GB2312" w:hint="eastAsia"/>
          <w:kern w:val="0"/>
          <w:sz w:val="32"/>
          <w:szCs w:val="32"/>
        </w:rPr>
      </w:pPr>
      <w:r w:rsidRPr="00CC5582">
        <w:rPr>
          <w:rFonts w:ascii="楷体_GB2312" w:eastAsia="楷体_GB2312" w:hint="eastAsia"/>
          <w:kern w:val="0"/>
          <w:sz w:val="32"/>
          <w:szCs w:val="32"/>
        </w:rPr>
        <w:t>第五章  监督管理</w:t>
      </w:r>
    </w:p>
    <w:p w:rsidR="008F6029" w:rsidRPr="00CC5582" w:rsidRDefault="008F6029" w:rsidP="008F6029">
      <w:pPr>
        <w:tabs>
          <w:tab w:val="left" w:pos="8505"/>
        </w:tabs>
        <w:overflowPunct w:val="0"/>
        <w:spacing w:line="600" w:lineRule="exact"/>
        <w:ind w:firstLineChars="200" w:firstLine="640"/>
        <w:rPr>
          <w:rFonts w:ascii="楷体_GB2312" w:eastAsia="楷体_GB2312" w:hint="eastAsia"/>
          <w:kern w:val="0"/>
          <w:sz w:val="32"/>
          <w:szCs w:val="32"/>
        </w:rPr>
      </w:pPr>
      <w:r w:rsidRPr="00CC5582">
        <w:rPr>
          <w:rFonts w:ascii="楷体_GB2312" w:eastAsia="楷体_GB2312" w:hint="eastAsia"/>
          <w:kern w:val="0"/>
          <w:sz w:val="32"/>
          <w:szCs w:val="32"/>
        </w:rPr>
        <w:t>第六章  法律责任</w:t>
      </w:r>
    </w:p>
    <w:p w:rsidR="008F6029" w:rsidRPr="00CC5582" w:rsidRDefault="008F6029" w:rsidP="008F6029">
      <w:pPr>
        <w:tabs>
          <w:tab w:val="left" w:pos="8505"/>
        </w:tabs>
        <w:overflowPunct w:val="0"/>
        <w:spacing w:line="600" w:lineRule="exact"/>
        <w:ind w:firstLineChars="200" w:firstLine="640"/>
        <w:rPr>
          <w:rFonts w:ascii="楷体_GB2312" w:eastAsia="楷体_GB2312" w:hint="eastAsia"/>
          <w:kern w:val="0"/>
          <w:sz w:val="32"/>
          <w:szCs w:val="32"/>
        </w:rPr>
      </w:pPr>
      <w:r w:rsidRPr="00CC5582">
        <w:rPr>
          <w:rFonts w:ascii="楷体_GB2312" w:eastAsia="楷体_GB2312" w:hint="eastAsia"/>
          <w:kern w:val="0"/>
          <w:sz w:val="32"/>
          <w:szCs w:val="32"/>
        </w:rPr>
        <w:t>第七章  附则</w:t>
      </w:r>
    </w:p>
    <w:p w:rsidR="008F6029" w:rsidRPr="00CC5582" w:rsidRDefault="008F6029" w:rsidP="008F6029">
      <w:pPr>
        <w:tabs>
          <w:tab w:val="left" w:pos="8505"/>
        </w:tabs>
        <w:overflowPunct w:val="0"/>
        <w:spacing w:line="600" w:lineRule="exact"/>
        <w:rPr>
          <w:rFonts w:eastAsia="仿宋_GB2312"/>
          <w:kern w:val="0"/>
          <w:sz w:val="32"/>
          <w:szCs w:val="32"/>
        </w:rPr>
      </w:pPr>
    </w:p>
    <w:p w:rsidR="008F6029" w:rsidRPr="00CC5582" w:rsidRDefault="008F6029" w:rsidP="008F6029">
      <w:pPr>
        <w:tabs>
          <w:tab w:val="left" w:pos="8505"/>
        </w:tabs>
        <w:overflowPunct w:val="0"/>
        <w:spacing w:line="600" w:lineRule="exact"/>
        <w:jc w:val="center"/>
        <w:rPr>
          <w:rFonts w:ascii="黑体" w:eastAsia="黑体" w:hAnsi="黑体" w:hint="eastAsia"/>
          <w:kern w:val="0"/>
          <w:sz w:val="32"/>
          <w:szCs w:val="32"/>
        </w:rPr>
      </w:pPr>
      <w:r w:rsidRPr="00CC5582">
        <w:rPr>
          <w:rFonts w:ascii="黑体" w:eastAsia="黑体" w:hAnsi="黑体" w:hint="eastAsia"/>
          <w:kern w:val="0"/>
          <w:sz w:val="32"/>
          <w:szCs w:val="32"/>
        </w:rPr>
        <w:t>第一章  总则</w:t>
      </w:r>
    </w:p>
    <w:p w:rsidR="008F6029" w:rsidRPr="00CC5582" w:rsidRDefault="008F6029" w:rsidP="008F6029">
      <w:pPr>
        <w:tabs>
          <w:tab w:val="left" w:pos="8505"/>
        </w:tabs>
        <w:overflowPunct w:val="0"/>
        <w:spacing w:line="600" w:lineRule="exact"/>
        <w:rPr>
          <w:rFonts w:ascii="黑体" w:eastAsia="黑体" w:hAnsi="黑体" w:hint="eastAsia"/>
          <w:kern w:val="0"/>
          <w:sz w:val="32"/>
          <w:szCs w:val="32"/>
        </w:rPr>
      </w:pP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ascii="黑体" w:eastAsia="黑体" w:hAnsi="黑体" w:hint="eastAsia"/>
          <w:kern w:val="0"/>
          <w:sz w:val="32"/>
          <w:szCs w:val="32"/>
        </w:rPr>
        <w:t xml:space="preserve">　　第一条 </w:t>
      </w:r>
      <w:r w:rsidRPr="00CC5582">
        <w:rPr>
          <w:rFonts w:eastAsia="仿宋_GB2312" w:hint="eastAsia"/>
          <w:kern w:val="0"/>
          <w:sz w:val="32"/>
          <w:szCs w:val="32"/>
        </w:rPr>
        <w:t xml:space="preserve"> </w:t>
      </w:r>
      <w:r w:rsidRPr="00CC5582">
        <w:rPr>
          <w:rFonts w:eastAsia="仿宋_GB2312" w:hint="eastAsia"/>
          <w:kern w:val="0"/>
          <w:sz w:val="32"/>
          <w:szCs w:val="32"/>
        </w:rPr>
        <w:t>为了促进投资，强化投资服务，保障投资者合法权益，积极融入新发展格局，推动经济社会高质量发展，根据有关法律、行政法规，结合本自治区实际，制定本条例。</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w:t>
      </w:r>
      <w:r w:rsidRPr="00CC5582">
        <w:rPr>
          <w:rFonts w:ascii="黑体" w:eastAsia="黑体" w:hAnsi="黑体" w:hint="eastAsia"/>
          <w:kern w:val="0"/>
          <w:sz w:val="32"/>
          <w:szCs w:val="32"/>
        </w:rPr>
        <w:t>第二条</w:t>
      </w:r>
      <w:r w:rsidRPr="00CC5582">
        <w:rPr>
          <w:rFonts w:eastAsia="仿宋_GB2312" w:hint="eastAsia"/>
          <w:kern w:val="0"/>
          <w:sz w:val="32"/>
          <w:szCs w:val="32"/>
        </w:rPr>
        <w:t xml:space="preserve">  </w:t>
      </w:r>
      <w:r w:rsidRPr="00CC5582">
        <w:rPr>
          <w:rFonts w:eastAsia="仿宋_GB2312" w:hint="eastAsia"/>
          <w:kern w:val="0"/>
          <w:sz w:val="32"/>
          <w:szCs w:val="32"/>
        </w:rPr>
        <w:t>本自治区行政区域内的投资引导、服务、保障、监督管理等活动，适用本条例。</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lastRenderedPageBreak/>
        <w:t xml:space="preserve">　　本条例所称投资，是指自然人、法人或者其他组织（以下称投资者）以营利为目的直接或者间接在本自治区行政区域内投入资金、实物、技术等活动。</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w:t>
      </w:r>
      <w:r w:rsidRPr="00CC5582">
        <w:rPr>
          <w:rFonts w:ascii="黑体" w:eastAsia="黑体" w:hAnsi="黑体" w:hint="eastAsia"/>
          <w:kern w:val="0"/>
          <w:sz w:val="32"/>
          <w:szCs w:val="32"/>
        </w:rPr>
        <w:t>第三</w:t>
      </w:r>
      <w:r>
        <w:rPr>
          <w:rFonts w:ascii="黑体" w:eastAsia="黑体" w:hAnsi="黑体" w:hint="eastAsia"/>
          <w:kern w:val="0"/>
          <w:sz w:val="32"/>
          <w:szCs w:val="32"/>
        </w:rPr>
        <w:t xml:space="preserve">条  </w:t>
      </w:r>
      <w:r w:rsidRPr="00CC5582">
        <w:rPr>
          <w:rFonts w:eastAsia="仿宋_GB2312" w:hint="eastAsia"/>
          <w:kern w:val="0"/>
          <w:sz w:val="32"/>
          <w:szCs w:val="32"/>
        </w:rPr>
        <w:t>投资促进工作应当坚持政府引导和市场主导相结合、做大总量和效益优先相结合、引进增量和升级存量相结合、招商引资和招才引智相结合、有序竞争和合作共赢相结合的原则。</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w:t>
      </w:r>
      <w:r w:rsidRPr="00CC5582">
        <w:rPr>
          <w:rFonts w:ascii="黑体" w:eastAsia="黑体" w:hAnsi="黑体" w:hint="eastAsia"/>
          <w:kern w:val="0"/>
          <w:sz w:val="32"/>
          <w:szCs w:val="32"/>
        </w:rPr>
        <w:t>第四条</w:t>
      </w:r>
      <w:r w:rsidRPr="00CC5582">
        <w:rPr>
          <w:rFonts w:eastAsia="仿宋_GB2312" w:hint="eastAsia"/>
          <w:kern w:val="0"/>
          <w:sz w:val="32"/>
          <w:szCs w:val="32"/>
        </w:rPr>
        <w:t xml:space="preserve">  </w:t>
      </w:r>
      <w:r w:rsidRPr="00CC5582">
        <w:rPr>
          <w:rFonts w:eastAsia="仿宋_GB2312" w:hint="eastAsia"/>
          <w:kern w:val="0"/>
          <w:sz w:val="32"/>
          <w:szCs w:val="32"/>
        </w:rPr>
        <w:t>县级以上人民政府应当加强对投资促进工作的领导，将投资促进工作列入重要议事日程，根据本行政区域产业发展规划和经济社会发展目标，明确投资促进工作的目标任务和重点方向，统筹推进、协调指导本行政区域投资促进工作。</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县级以上人民政府根据本行政区域实际，明确负责投资促进工作的机构，承担具体的统筹、协调和指导工作。</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县级以上人民政府发展改革、科技、工业和信息化、公安、财政、人力资源社会保障、自然资源、生态环境、住房城乡建设、交通运输、农业农村、商务、文化和旅游、国有资产监督管理、市场监督管理、地方金融监督管理、大数据发展等部门，按照各自职责做好投资促进相关工作。</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自治区行政区域内的各类园区管理机构应当依据本园区发展方向和职责做好投资促进相关工作。</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乡镇人民政府、街道办事处配合做好投资促进相关工作。</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lastRenderedPageBreak/>
        <w:t xml:space="preserve">　　</w:t>
      </w:r>
      <w:r w:rsidRPr="00CC5582">
        <w:rPr>
          <w:rFonts w:ascii="黑体" w:eastAsia="黑体" w:hAnsi="黑体" w:hint="eastAsia"/>
          <w:kern w:val="0"/>
          <w:sz w:val="32"/>
          <w:szCs w:val="32"/>
        </w:rPr>
        <w:t>第五条</w:t>
      </w:r>
      <w:r w:rsidRPr="00CC5582">
        <w:rPr>
          <w:rFonts w:eastAsia="仿宋_GB2312" w:hint="eastAsia"/>
          <w:kern w:val="0"/>
          <w:sz w:val="32"/>
          <w:szCs w:val="32"/>
        </w:rPr>
        <w:t xml:space="preserve">  </w:t>
      </w:r>
      <w:r w:rsidRPr="00CC5582">
        <w:rPr>
          <w:rFonts w:eastAsia="仿宋_GB2312" w:hint="eastAsia"/>
          <w:kern w:val="0"/>
          <w:sz w:val="32"/>
          <w:szCs w:val="32"/>
        </w:rPr>
        <w:t>自治区人民政府设立的投资促进委员会统筹领导本自治区投资促进工作，加强投资促进专业队伍建设和对投资促进工作的协调。设区的市、县级人民政府根据需要建立投资促进协调机制。</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w:t>
      </w:r>
      <w:r w:rsidRPr="00CC5582">
        <w:rPr>
          <w:rFonts w:ascii="黑体" w:eastAsia="黑体" w:hAnsi="黑体" w:hint="eastAsia"/>
          <w:kern w:val="0"/>
          <w:sz w:val="32"/>
          <w:szCs w:val="32"/>
        </w:rPr>
        <w:t>第六</w:t>
      </w:r>
      <w:r>
        <w:rPr>
          <w:rFonts w:ascii="黑体" w:eastAsia="黑体" w:hAnsi="黑体" w:hint="eastAsia"/>
          <w:kern w:val="0"/>
          <w:sz w:val="32"/>
          <w:szCs w:val="32"/>
        </w:rPr>
        <w:t xml:space="preserve">条  </w:t>
      </w:r>
      <w:r w:rsidRPr="00CC5582">
        <w:rPr>
          <w:rFonts w:eastAsia="仿宋_GB2312" w:hint="eastAsia"/>
          <w:kern w:val="0"/>
          <w:sz w:val="32"/>
          <w:szCs w:val="32"/>
        </w:rPr>
        <w:t>各级人民政府以及有关部门应当采取有效措施，营造良好的法治环境和公平公正、开放包容、合作互赢、诚实守信、</w:t>
      </w:r>
      <w:proofErr w:type="gramStart"/>
      <w:r w:rsidRPr="00CC5582">
        <w:rPr>
          <w:rFonts w:eastAsia="仿宋_GB2312" w:hint="eastAsia"/>
          <w:kern w:val="0"/>
          <w:sz w:val="32"/>
          <w:szCs w:val="32"/>
        </w:rPr>
        <w:t>重商亲商</w:t>
      </w:r>
      <w:proofErr w:type="gramEnd"/>
      <w:r w:rsidRPr="00CC5582">
        <w:rPr>
          <w:rFonts w:eastAsia="仿宋_GB2312" w:hint="eastAsia"/>
          <w:kern w:val="0"/>
          <w:sz w:val="32"/>
          <w:szCs w:val="32"/>
        </w:rPr>
        <w:t>的投资环境，加大对本行政区域投资政策、重点项目、典型经验等的宣传和推介力度。</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社会团体、企业事业单位、其他组织和个人应当配合有关部门营造良好的投资环境。</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报刊、广播、电视、网络等媒体和各类交流合作平台应当积极宣传报道投资促进的相关政策和活动。</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w:t>
      </w:r>
      <w:r w:rsidRPr="00CC5582">
        <w:rPr>
          <w:rFonts w:ascii="黑体" w:eastAsia="黑体" w:hAnsi="黑体" w:hint="eastAsia"/>
          <w:kern w:val="0"/>
          <w:sz w:val="32"/>
          <w:szCs w:val="32"/>
        </w:rPr>
        <w:t>第七</w:t>
      </w:r>
      <w:r>
        <w:rPr>
          <w:rFonts w:ascii="黑体" w:eastAsia="黑体" w:hAnsi="黑体" w:hint="eastAsia"/>
          <w:kern w:val="0"/>
          <w:sz w:val="32"/>
          <w:szCs w:val="32"/>
        </w:rPr>
        <w:t xml:space="preserve">条  </w:t>
      </w:r>
      <w:r w:rsidRPr="00CC5582">
        <w:rPr>
          <w:rFonts w:eastAsia="仿宋_GB2312" w:hint="eastAsia"/>
          <w:kern w:val="0"/>
          <w:sz w:val="32"/>
          <w:szCs w:val="32"/>
        </w:rPr>
        <w:t>县级以上人民政府可以根据国家和自治区有关规定制定投资促进奖励措施，对在投资促进工作中做出突出成绩的单位和个人给予奖励。</w:t>
      </w:r>
    </w:p>
    <w:p w:rsidR="008F6029" w:rsidRDefault="008F6029" w:rsidP="008F6029">
      <w:pPr>
        <w:tabs>
          <w:tab w:val="left" w:pos="8505"/>
        </w:tabs>
        <w:overflowPunct w:val="0"/>
        <w:spacing w:line="600" w:lineRule="exact"/>
        <w:rPr>
          <w:rFonts w:eastAsia="仿宋_GB2312" w:hint="eastAsia"/>
          <w:kern w:val="0"/>
          <w:sz w:val="32"/>
          <w:szCs w:val="32"/>
        </w:rPr>
      </w:pPr>
    </w:p>
    <w:p w:rsidR="008F6029" w:rsidRPr="00CC5582" w:rsidRDefault="008F6029" w:rsidP="008F6029">
      <w:pPr>
        <w:tabs>
          <w:tab w:val="left" w:pos="8505"/>
        </w:tabs>
        <w:overflowPunct w:val="0"/>
        <w:spacing w:line="600" w:lineRule="exact"/>
        <w:jc w:val="center"/>
        <w:rPr>
          <w:rFonts w:ascii="黑体" w:eastAsia="黑体" w:hAnsi="黑体" w:hint="eastAsia"/>
          <w:kern w:val="0"/>
          <w:sz w:val="32"/>
          <w:szCs w:val="32"/>
        </w:rPr>
      </w:pPr>
      <w:r w:rsidRPr="00CC5582">
        <w:rPr>
          <w:rFonts w:ascii="黑体" w:eastAsia="黑体" w:hAnsi="黑体" w:hint="eastAsia"/>
          <w:kern w:val="0"/>
          <w:sz w:val="32"/>
          <w:szCs w:val="32"/>
        </w:rPr>
        <w:t>第二章  投资引导</w:t>
      </w:r>
    </w:p>
    <w:p w:rsidR="008F6029" w:rsidRDefault="008F6029" w:rsidP="008F6029">
      <w:pPr>
        <w:tabs>
          <w:tab w:val="left" w:pos="8505"/>
        </w:tabs>
        <w:overflowPunct w:val="0"/>
        <w:spacing w:line="600" w:lineRule="exact"/>
        <w:rPr>
          <w:rFonts w:ascii="黑体" w:eastAsia="黑体" w:hAnsi="黑体" w:hint="eastAsia"/>
          <w:kern w:val="0"/>
          <w:sz w:val="32"/>
          <w:szCs w:val="32"/>
        </w:rPr>
      </w:pP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ascii="黑体" w:eastAsia="黑体" w:hAnsi="黑体" w:hint="eastAsia"/>
          <w:kern w:val="0"/>
          <w:sz w:val="32"/>
          <w:szCs w:val="32"/>
        </w:rPr>
        <w:t xml:space="preserve">　　第八</w:t>
      </w:r>
      <w:r>
        <w:rPr>
          <w:rFonts w:ascii="黑体" w:eastAsia="黑体" w:hAnsi="黑体" w:hint="eastAsia"/>
          <w:kern w:val="0"/>
          <w:sz w:val="32"/>
          <w:szCs w:val="32"/>
        </w:rPr>
        <w:t xml:space="preserve">条  </w:t>
      </w:r>
      <w:r w:rsidRPr="00CC5582">
        <w:rPr>
          <w:rFonts w:eastAsia="仿宋_GB2312" w:hint="eastAsia"/>
          <w:kern w:val="0"/>
          <w:sz w:val="32"/>
          <w:szCs w:val="32"/>
        </w:rPr>
        <w:t>县级以上人民政府负责投资促进工作的机构应当根据本行政区域国民经济和社会发展规划、国土空间规划以及产业发展规划等专项规划，编制投资促进规划及其专项计划，报本级人民政府批准后实施，并报上一级人民政府负责投资促进工作的机构备案。</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lastRenderedPageBreak/>
        <w:t xml:space="preserve">　　编制投资促进规划及其专项计划应当统筹考虑当地功能定位、产业发展以及资源环境承载力，坚持构建重点突出、错位发展、有序竞争的空间格局，引导投资向环境优、效率高、配套好的区域集聚，促进产业融合发展。</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w:t>
      </w:r>
      <w:r w:rsidRPr="00CC5582">
        <w:rPr>
          <w:rFonts w:ascii="黑体" w:eastAsia="黑体" w:hAnsi="黑体" w:hint="eastAsia"/>
          <w:kern w:val="0"/>
          <w:sz w:val="32"/>
          <w:szCs w:val="32"/>
        </w:rPr>
        <w:t>第九条</w:t>
      </w:r>
      <w:r w:rsidRPr="00CC5582">
        <w:rPr>
          <w:rFonts w:eastAsia="仿宋_GB2312" w:hint="eastAsia"/>
          <w:kern w:val="0"/>
          <w:sz w:val="32"/>
          <w:szCs w:val="32"/>
        </w:rPr>
        <w:t xml:space="preserve">  </w:t>
      </w:r>
      <w:r w:rsidRPr="00CC5582">
        <w:rPr>
          <w:rFonts w:eastAsia="仿宋_GB2312" w:hint="eastAsia"/>
          <w:kern w:val="0"/>
          <w:sz w:val="32"/>
          <w:szCs w:val="32"/>
        </w:rPr>
        <w:t>开展投资促进工作应当根据投资促进规划和专项计划，以改造提升传统优势产业、大力发展战略性新兴产业和现代特色农业、先进制造业、现代服务业以及优化完善基础设施为目标。</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自治区人民政府以及有关部门做好具有引领性、突破性、方向性的重大项目投资促进工作；设区的市人民政府以及有关部门做好区域性、功能性、支撑性的重大项目投资促进工作；县（市、区）人民政府以及有关部门、园区管理机构做好集聚性、配套性、特色性的重大项目投资促进工作。</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w:t>
      </w:r>
      <w:r w:rsidRPr="00CC5582">
        <w:rPr>
          <w:rFonts w:ascii="黑体" w:eastAsia="黑体" w:hAnsi="黑体" w:hint="eastAsia"/>
          <w:kern w:val="0"/>
          <w:sz w:val="32"/>
          <w:szCs w:val="32"/>
        </w:rPr>
        <w:t xml:space="preserve">第十条 </w:t>
      </w:r>
      <w:r w:rsidRPr="00CC5582">
        <w:rPr>
          <w:rFonts w:eastAsia="仿宋_GB2312" w:hint="eastAsia"/>
          <w:kern w:val="0"/>
          <w:sz w:val="32"/>
          <w:szCs w:val="32"/>
        </w:rPr>
        <w:t xml:space="preserve"> </w:t>
      </w:r>
      <w:r w:rsidRPr="00CC5582">
        <w:rPr>
          <w:rFonts w:eastAsia="仿宋_GB2312" w:hint="eastAsia"/>
          <w:kern w:val="0"/>
          <w:sz w:val="32"/>
          <w:szCs w:val="32"/>
        </w:rPr>
        <w:t>县级以上人民政府负责投资促进工作的机构应当组织相关部门，根据国家产业发展趋势和本自治区经济社会发展需要，编制、发布重点投资产业（领域）指导目录，并向社会公布。</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重点投资产业（领域）指导目录应当根据国家和本自治区的产业政策导向情况进行动态调整。</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全面落实市场准入负面清单管理制度。鼓励投资者利用资金、技术和本自治区自然资源、区位优势，积极参与重点产业、领域开发以及各类园区建设，推动构建现代产业体系、现代化基础设施体系和现代化公共服务体系。</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lastRenderedPageBreak/>
        <w:t xml:space="preserve">　　鼓励国有企业通过混合所有制改革，吸引各类资本投向重点产业和关键领域。</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w:t>
      </w:r>
      <w:r w:rsidRPr="00CC5582">
        <w:rPr>
          <w:rFonts w:ascii="黑体" w:eastAsia="黑体" w:hAnsi="黑体" w:hint="eastAsia"/>
          <w:kern w:val="0"/>
          <w:sz w:val="32"/>
          <w:szCs w:val="32"/>
        </w:rPr>
        <w:t xml:space="preserve">第十一条 </w:t>
      </w:r>
      <w:r w:rsidRPr="00CC5582">
        <w:rPr>
          <w:rFonts w:eastAsia="仿宋_GB2312" w:hint="eastAsia"/>
          <w:kern w:val="0"/>
          <w:sz w:val="32"/>
          <w:szCs w:val="32"/>
        </w:rPr>
        <w:t xml:space="preserve"> </w:t>
      </w:r>
      <w:r w:rsidRPr="00CC5582">
        <w:rPr>
          <w:rFonts w:eastAsia="仿宋_GB2312" w:hint="eastAsia"/>
          <w:kern w:val="0"/>
          <w:sz w:val="32"/>
          <w:szCs w:val="32"/>
        </w:rPr>
        <w:t>县级以上人民政府应当指定有关部门整合各行业和产业主管部门的信息数据，建立统一规范的投资政策、信息发布平台，及时更新有关投资信息，并向企业和社会公布，为投资者提供便捷、准确的投资信息服务。</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w:t>
      </w:r>
      <w:r w:rsidRPr="00CC5582">
        <w:rPr>
          <w:rFonts w:ascii="黑体" w:eastAsia="黑体" w:hAnsi="黑体" w:hint="eastAsia"/>
          <w:kern w:val="0"/>
          <w:sz w:val="32"/>
          <w:szCs w:val="32"/>
        </w:rPr>
        <w:t>第十二条</w:t>
      </w:r>
      <w:r w:rsidRPr="00CC5582">
        <w:rPr>
          <w:rFonts w:eastAsia="仿宋_GB2312" w:hint="eastAsia"/>
          <w:kern w:val="0"/>
          <w:sz w:val="32"/>
          <w:szCs w:val="32"/>
        </w:rPr>
        <w:t xml:space="preserve">  </w:t>
      </w:r>
      <w:r w:rsidRPr="00CC5582">
        <w:rPr>
          <w:rFonts w:eastAsia="仿宋_GB2312" w:hint="eastAsia"/>
          <w:kern w:val="0"/>
          <w:sz w:val="32"/>
          <w:szCs w:val="32"/>
        </w:rPr>
        <w:t>县级以上人民政府负责投资促进工作的机构应当坚持专业化、市场化、法治化方向，不断创新工作机制和模式，引导有关机构和各类市场主体、社会组织以及其他社会力量共同开展投资促进工作，推动投资促进主体多元化、方式多样化。</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w:t>
      </w:r>
      <w:r w:rsidRPr="00CC5582">
        <w:rPr>
          <w:rFonts w:ascii="黑体" w:eastAsia="黑体" w:hAnsi="黑体" w:hint="eastAsia"/>
          <w:kern w:val="0"/>
          <w:sz w:val="32"/>
          <w:szCs w:val="32"/>
        </w:rPr>
        <w:t>第十三</w:t>
      </w:r>
      <w:r>
        <w:rPr>
          <w:rFonts w:ascii="黑体" w:eastAsia="黑体" w:hAnsi="黑体" w:hint="eastAsia"/>
          <w:kern w:val="0"/>
          <w:sz w:val="32"/>
          <w:szCs w:val="32"/>
        </w:rPr>
        <w:t xml:space="preserve">条  </w:t>
      </w:r>
      <w:r w:rsidRPr="00CC5582">
        <w:rPr>
          <w:rFonts w:eastAsia="仿宋_GB2312" w:hint="eastAsia"/>
          <w:kern w:val="0"/>
          <w:sz w:val="32"/>
          <w:szCs w:val="32"/>
        </w:rPr>
        <w:t>县级以上人民政府以及有关部门、各类园区管理机构应当深化与京津冀、长三角、粤港澳大湾区、西部陆海新通道沿线地区等国内重点区域和省际间的经济技术协作，利用国家建立的多边、双边投资促进合作机制，加强同重点国家、国（境）外重点区域在投资领域的交流与合作，加快建设全球化投资促进网络，开展或者参与区内外重大投资促进活动。</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w:t>
      </w:r>
      <w:r w:rsidRPr="00CC5582">
        <w:rPr>
          <w:rFonts w:ascii="黑体" w:eastAsia="黑体" w:hAnsi="黑体" w:hint="eastAsia"/>
          <w:kern w:val="0"/>
          <w:sz w:val="32"/>
          <w:szCs w:val="32"/>
        </w:rPr>
        <w:t>第十四条</w:t>
      </w:r>
      <w:r w:rsidRPr="00CC5582">
        <w:rPr>
          <w:rFonts w:eastAsia="仿宋_GB2312" w:hint="eastAsia"/>
          <w:kern w:val="0"/>
          <w:sz w:val="32"/>
          <w:szCs w:val="32"/>
        </w:rPr>
        <w:t xml:space="preserve">  </w:t>
      </w:r>
      <w:r w:rsidRPr="00CC5582">
        <w:rPr>
          <w:rFonts w:eastAsia="仿宋_GB2312" w:hint="eastAsia"/>
          <w:kern w:val="0"/>
          <w:sz w:val="32"/>
          <w:szCs w:val="32"/>
        </w:rPr>
        <w:t>自治区人民政府应当规范全区招商引资秩序，引导本行政区域内存量企业合理有序流动。</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县级以上人民政府以及有关部门、各类园区管理机构应当根据产业发展规划布局开展差异化、互补性招商，大力引进强优企业，培育壮大特色产业集群，避免无序竞争和低水</w:t>
      </w:r>
      <w:r w:rsidRPr="00CC5582">
        <w:rPr>
          <w:rFonts w:eastAsia="仿宋_GB2312" w:hint="eastAsia"/>
          <w:kern w:val="0"/>
          <w:sz w:val="32"/>
          <w:szCs w:val="32"/>
        </w:rPr>
        <w:lastRenderedPageBreak/>
        <w:t>平同质化发展。</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w:t>
      </w:r>
      <w:r w:rsidRPr="00CC5582">
        <w:rPr>
          <w:rFonts w:ascii="黑体" w:eastAsia="黑体" w:hAnsi="黑体" w:hint="eastAsia"/>
          <w:kern w:val="0"/>
          <w:sz w:val="32"/>
          <w:szCs w:val="32"/>
        </w:rPr>
        <w:t>第十五条</w:t>
      </w:r>
      <w:r w:rsidRPr="00CC5582">
        <w:rPr>
          <w:rFonts w:eastAsia="仿宋_GB2312" w:hint="eastAsia"/>
          <w:kern w:val="0"/>
          <w:sz w:val="32"/>
          <w:szCs w:val="32"/>
        </w:rPr>
        <w:t xml:space="preserve">  </w:t>
      </w:r>
      <w:r w:rsidRPr="00CC5582">
        <w:rPr>
          <w:rFonts w:eastAsia="仿宋_GB2312" w:hint="eastAsia"/>
          <w:kern w:val="0"/>
          <w:sz w:val="32"/>
          <w:szCs w:val="32"/>
        </w:rPr>
        <w:t>自治区人民政府应当采取多种措施，创新开展中国—东盟博览会、中国—东盟商务与投资峰会等系列投资促进活动，打造招商核心品牌。</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设区的市和县级人民政府应当充分利用各自举办和参加的重点展会平台，将投资促进活动作为展会的重要内容，突出地方特色、产业优势。</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w:t>
      </w:r>
      <w:r w:rsidRPr="00CC5582">
        <w:rPr>
          <w:rFonts w:ascii="黑体" w:eastAsia="黑体" w:hAnsi="黑体" w:hint="eastAsia"/>
          <w:kern w:val="0"/>
          <w:sz w:val="32"/>
          <w:szCs w:val="32"/>
        </w:rPr>
        <w:t xml:space="preserve">　第十六</w:t>
      </w:r>
      <w:r>
        <w:rPr>
          <w:rFonts w:ascii="黑体" w:eastAsia="黑体" w:hAnsi="黑体" w:hint="eastAsia"/>
          <w:kern w:val="0"/>
          <w:sz w:val="32"/>
          <w:szCs w:val="32"/>
        </w:rPr>
        <w:t xml:space="preserve">条  </w:t>
      </w:r>
      <w:r w:rsidRPr="00CC5582">
        <w:rPr>
          <w:rFonts w:eastAsia="仿宋_GB2312" w:hint="eastAsia"/>
          <w:kern w:val="0"/>
          <w:sz w:val="32"/>
          <w:szCs w:val="32"/>
        </w:rPr>
        <w:t>县级以上人民政府应当根据本行政区域实际，依法制定或者落实财政、金融、用地、人才等方面的投资促进优惠政策措施。投资者可以依照规定享受优惠待遇。</w:t>
      </w:r>
    </w:p>
    <w:p w:rsidR="008F6029" w:rsidRDefault="008F6029" w:rsidP="008F6029">
      <w:pPr>
        <w:tabs>
          <w:tab w:val="left" w:pos="8505"/>
        </w:tabs>
        <w:overflowPunct w:val="0"/>
        <w:spacing w:line="600" w:lineRule="exact"/>
        <w:rPr>
          <w:rFonts w:eastAsia="仿宋_GB2312" w:hint="eastAsia"/>
          <w:kern w:val="0"/>
          <w:sz w:val="32"/>
          <w:szCs w:val="32"/>
        </w:rPr>
      </w:pPr>
    </w:p>
    <w:p w:rsidR="008F6029" w:rsidRPr="00CC5582" w:rsidRDefault="008F6029" w:rsidP="008F6029">
      <w:pPr>
        <w:tabs>
          <w:tab w:val="left" w:pos="8505"/>
        </w:tabs>
        <w:overflowPunct w:val="0"/>
        <w:spacing w:line="600" w:lineRule="exact"/>
        <w:jc w:val="center"/>
        <w:rPr>
          <w:rFonts w:ascii="黑体" w:eastAsia="黑体" w:hAnsi="黑体" w:hint="eastAsia"/>
          <w:kern w:val="0"/>
          <w:sz w:val="32"/>
          <w:szCs w:val="32"/>
        </w:rPr>
      </w:pPr>
      <w:r w:rsidRPr="00CC5582">
        <w:rPr>
          <w:rFonts w:ascii="黑体" w:eastAsia="黑体" w:hAnsi="黑体" w:hint="eastAsia"/>
          <w:kern w:val="0"/>
          <w:sz w:val="32"/>
          <w:szCs w:val="32"/>
        </w:rPr>
        <w:t>第三章  投资服务</w:t>
      </w:r>
    </w:p>
    <w:p w:rsidR="008F6029" w:rsidRDefault="008F6029" w:rsidP="008F6029">
      <w:pPr>
        <w:tabs>
          <w:tab w:val="left" w:pos="8505"/>
        </w:tabs>
        <w:overflowPunct w:val="0"/>
        <w:spacing w:line="600" w:lineRule="exact"/>
        <w:rPr>
          <w:rFonts w:ascii="黑体" w:eastAsia="黑体" w:hAnsi="黑体" w:hint="eastAsia"/>
          <w:kern w:val="0"/>
          <w:sz w:val="32"/>
          <w:szCs w:val="32"/>
        </w:rPr>
      </w:pP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ascii="黑体" w:eastAsia="黑体" w:hAnsi="黑体" w:hint="eastAsia"/>
          <w:kern w:val="0"/>
          <w:sz w:val="32"/>
          <w:szCs w:val="32"/>
        </w:rPr>
        <w:t xml:space="preserve">　　第十七条</w:t>
      </w:r>
      <w:r w:rsidRPr="00CC5582">
        <w:rPr>
          <w:rFonts w:eastAsia="仿宋_GB2312" w:hint="eastAsia"/>
          <w:kern w:val="0"/>
          <w:sz w:val="32"/>
          <w:szCs w:val="32"/>
        </w:rPr>
        <w:t xml:space="preserve">  </w:t>
      </w:r>
      <w:r w:rsidRPr="00CC5582">
        <w:rPr>
          <w:rFonts w:eastAsia="仿宋_GB2312" w:hint="eastAsia"/>
          <w:kern w:val="0"/>
          <w:sz w:val="32"/>
          <w:szCs w:val="32"/>
        </w:rPr>
        <w:t>投资建设列入国家或者自治区批准的相关规划的审批类项目，不需要办理项目建议书批复手续，可以直接进入可行性研究阶段。对不增加用地的技改项目实行承诺备案制。</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w:t>
      </w:r>
      <w:r w:rsidRPr="00CC5582">
        <w:rPr>
          <w:rFonts w:ascii="黑体" w:eastAsia="黑体" w:hAnsi="黑体" w:hint="eastAsia"/>
          <w:kern w:val="0"/>
          <w:sz w:val="32"/>
          <w:szCs w:val="32"/>
        </w:rPr>
        <w:t xml:space="preserve">　第十八条  </w:t>
      </w:r>
      <w:r w:rsidRPr="00CC5582">
        <w:rPr>
          <w:rFonts w:eastAsia="仿宋_GB2312" w:hint="eastAsia"/>
          <w:kern w:val="0"/>
          <w:sz w:val="32"/>
          <w:szCs w:val="32"/>
        </w:rPr>
        <w:t>重大投资项目环境影响评价、安全评估、水土保持评估等评估（评价），可以实行统一受理、统一组织联合评估（评价）</w:t>
      </w:r>
      <w:proofErr w:type="gramStart"/>
      <w:r w:rsidRPr="00CC5582">
        <w:rPr>
          <w:rFonts w:eastAsia="仿宋_GB2312" w:hint="eastAsia"/>
          <w:kern w:val="0"/>
          <w:sz w:val="32"/>
          <w:szCs w:val="32"/>
        </w:rPr>
        <w:t>和多评合一</w:t>
      </w:r>
      <w:proofErr w:type="gramEnd"/>
      <w:r w:rsidRPr="00CC5582">
        <w:rPr>
          <w:rFonts w:eastAsia="仿宋_GB2312" w:hint="eastAsia"/>
          <w:kern w:val="0"/>
          <w:sz w:val="32"/>
          <w:szCs w:val="32"/>
        </w:rPr>
        <w:t>。</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w:t>
      </w:r>
      <w:r w:rsidRPr="00CC5582">
        <w:rPr>
          <w:rFonts w:ascii="黑体" w:eastAsia="黑体" w:hAnsi="黑体" w:hint="eastAsia"/>
          <w:kern w:val="0"/>
          <w:sz w:val="32"/>
          <w:szCs w:val="32"/>
        </w:rPr>
        <w:t>第十九条</w:t>
      </w:r>
      <w:r w:rsidRPr="00CC5582">
        <w:rPr>
          <w:rFonts w:eastAsia="仿宋_GB2312" w:hint="eastAsia"/>
          <w:kern w:val="0"/>
          <w:sz w:val="32"/>
          <w:szCs w:val="32"/>
        </w:rPr>
        <w:t xml:space="preserve">  </w:t>
      </w:r>
      <w:r w:rsidRPr="00CC5582">
        <w:rPr>
          <w:rFonts w:eastAsia="仿宋_GB2312" w:hint="eastAsia"/>
          <w:kern w:val="0"/>
          <w:sz w:val="32"/>
          <w:szCs w:val="32"/>
        </w:rPr>
        <w:t>投资者申请办理重大投资项目选址手续涉及多类规划、多个部门的，由县级以上人民政府城乡规划主管部门组织相关部门协调确定；跨多个行政区域的，由上一</w:t>
      </w:r>
      <w:r w:rsidRPr="00CC5582">
        <w:rPr>
          <w:rFonts w:eastAsia="仿宋_GB2312" w:hint="eastAsia"/>
          <w:kern w:val="0"/>
          <w:sz w:val="32"/>
          <w:szCs w:val="32"/>
        </w:rPr>
        <w:lastRenderedPageBreak/>
        <w:t>级人民政府城乡规划主管部门组织协调确定。</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w:t>
      </w:r>
      <w:r w:rsidRPr="00CC5582">
        <w:rPr>
          <w:rFonts w:ascii="黑体" w:eastAsia="黑体" w:hAnsi="黑体" w:hint="eastAsia"/>
          <w:kern w:val="0"/>
          <w:sz w:val="32"/>
          <w:szCs w:val="32"/>
        </w:rPr>
        <w:t>第二十条</w:t>
      </w:r>
      <w:r w:rsidRPr="00CC5582">
        <w:rPr>
          <w:rFonts w:eastAsia="仿宋_GB2312" w:hint="eastAsia"/>
          <w:kern w:val="0"/>
          <w:sz w:val="32"/>
          <w:szCs w:val="32"/>
        </w:rPr>
        <w:t xml:space="preserve">  </w:t>
      </w:r>
      <w:r w:rsidRPr="00CC5582">
        <w:rPr>
          <w:rFonts w:eastAsia="仿宋_GB2312" w:hint="eastAsia"/>
          <w:kern w:val="0"/>
          <w:sz w:val="32"/>
          <w:szCs w:val="32"/>
        </w:rPr>
        <w:t>县级以上人民政府及其有关部门应当简化投资用地预审手续，取消补充耕地、征地补偿费等用地预审前置条件。</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重大投资项目用地可以单独申报；分期实施的，可以根据项目可行性研究报告或者备案表批复的分期实施方案进行分期申报。</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w:t>
      </w:r>
      <w:r w:rsidRPr="00CC5582">
        <w:rPr>
          <w:rFonts w:ascii="黑体" w:eastAsia="黑体" w:hAnsi="黑体" w:hint="eastAsia"/>
          <w:kern w:val="0"/>
          <w:sz w:val="32"/>
          <w:szCs w:val="32"/>
        </w:rPr>
        <w:t>第二十一条</w:t>
      </w:r>
      <w:r w:rsidRPr="00CC5582">
        <w:rPr>
          <w:rFonts w:eastAsia="仿宋_GB2312" w:hint="eastAsia"/>
          <w:kern w:val="0"/>
          <w:sz w:val="32"/>
          <w:szCs w:val="32"/>
        </w:rPr>
        <w:t xml:space="preserve">  </w:t>
      </w:r>
      <w:r w:rsidRPr="00CC5582">
        <w:rPr>
          <w:rFonts w:eastAsia="仿宋_GB2312" w:hint="eastAsia"/>
          <w:kern w:val="0"/>
          <w:sz w:val="32"/>
          <w:szCs w:val="32"/>
        </w:rPr>
        <w:t>县级以上人民政府有关部门应当简化投资项目施工许可手续，合并办理与颁发施工许可证相关的工程质量安全监督手续、现场前期条件核查等事项。</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w:t>
      </w:r>
      <w:r w:rsidRPr="00CC5582">
        <w:rPr>
          <w:rFonts w:ascii="黑体" w:eastAsia="黑体" w:hAnsi="黑体" w:hint="eastAsia"/>
          <w:kern w:val="0"/>
          <w:sz w:val="32"/>
          <w:szCs w:val="32"/>
        </w:rPr>
        <w:t xml:space="preserve">第二十二条 </w:t>
      </w:r>
      <w:r w:rsidRPr="00CC5582">
        <w:rPr>
          <w:rFonts w:eastAsia="仿宋_GB2312" w:hint="eastAsia"/>
          <w:kern w:val="0"/>
          <w:sz w:val="32"/>
          <w:szCs w:val="32"/>
        </w:rPr>
        <w:t xml:space="preserve"> </w:t>
      </w:r>
      <w:r w:rsidRPr="00CC5582">
        <w:rPr>
          <w:rFonts w:eastAsia="仿宋_GB2312" w:hint="eastAsia"/>
          <w:kern w:val="0"/>
          <w:sz w:val="32"/>
          <w:szCs w:val="32"/>
        </w:rPr>
        <w:t>投资项目完工后，投资者提出联合验收申请的，县级以上人民政府应当明确有关部门牵头组织实行规划、土地、消防、人防等事项的联合验收，统一出具验收意见。</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w:t>
      </w:r>
      <w:r w:rsidRPr="00CC5582">
        <w:rPr>
          <w:rFonts w:ascii="黑体" w:eastAsia="黑体" w:hAnsi="黑体" w:hint="eastAsia"/>
          <w:kern w:val="0"/>
          <w:sz w:val="32"/>
          <w:szCs w:val="32"/>
        </w:rPr>
        <w:t xml:space="preserve">第二十三条  </w:t>
      </w:r>
      <w:r w:rsidRPr="00CC5582">
        <w:rPr>
          <w:rFonts w:eastAsia="仿宋_GB2312" w:hint="eastAsia"/>
          <w:kern w:val="0"/>
          <w:sz w:val="32"/>
          <w:szCs w:val="32"/>
        </w:rPr>
        <w:t>落户各类园区的投资项目，免费共享由各园区管理机构统一组织的环境影响评价、安全评估、节能评估、地质灾害危险性评估、水土保持评估等事项的区域性评估（评价）成果。但是，法律、行政法规另有规定的除外。</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w:t>
      </w:r>
      <w:r w:rsidRPr="00CC5582">
        <w:rPr>
          <w:rFonts w:ascii="黑体" w:eastAsia="黑体" w:hAnsi="黑体" w:hint="eastAsia"/>
          <w:kern w:val="0"/>
          <w:sz w:val="32"/>
          <w:szCs w:val="32"/>
        </w:rPr>
        <w:t xml:space="preserve">第二十四条 </w:t>
      </w:r>
      <w:r w:rsidRPr="00CC5582">
        <w:rPr>
          <w:rFonts w:eastAsia="仿宋_GB2312" w:hint="eastAsia"/>
          <w:kern w:val="0"/>
          <w:sz w:val="32"/>
          <w:szCs w:val="32"/>
        </w:rPr>
        <w:t xml:space="preserve"> </w:t>
      </w:r>
      <w:r w:rsidRPr="00CC5582">
        <w:rPr>
          <w:rFonts w:eastAsia="仿宋_GB2312" w:hint="eastAsia"/>
          <w:kern w:val="0"/>
          <w:sz w:val="32"/>
          <w:szCs w:val="32"/>
        </w:rPr>
        <w:t>县级以上人民政府应当统筹整合各类政府性资金，通过贷款贴息、担保费补贴等方式，扶持投资者融资和发展。</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鼓励金融机构创新金融产品和服务，为投资项目提供贷款支持和融资担保。</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lastRenderedPageBreak/>
        <w:t xml:space="preserve">　　鼓励投资者依法设立各类投资基金、担保机构等。</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w:t>
      </w:r>
      <w:r w:rsidRPr="00CC5582">
        <w:rPr>
          <w:rFonts w:ascii="黑体" w:eastAsia="黑体" w:hAnsi="黑体" w:hint="eastAsia"/>
          <w:kern w:val="0"/>
          <w:sz w:val="32"/>
          <w:szCs w:val="32"/>
        </w:rPr>
        <w:t>第二十五条</w:t>
      </w:r>
      <w:r w:rsidRPr="00CC5582">
        <w:rPr>
          <w:rFonts w:eastAsia="仿宋_GB2312" w:hint="eastAsia"/>
          <w:kern w:val="0"/>
          <w:sz w:val="32"/>
          <w:szCs w:val="32"/>
        </w:rPr>
        <w:t xml:space="preserve">  </w:t>
      </w:r>
      <w:r w:rsidRPr="00CC5582">
        <w:rPr>
          <w:rFonts w:eastAsia="仿宋_GB2312" w:hint="eastAsia"/>
          <w:kern w:val="0"/>
          <w:sz w:val="32"/>
          <w:szCs w:val="32"/>
        </w:rPr>
        <w:t>实行重点企业、重点项目领导联系制度。县级以上人民政府负责投资促进工作的机构应当每年梳理重点企业、重点项目清单和问题清单，编制领导协调推进重点企业、重点项目联系清单，明确责任人、责任部门和时限，积极协调解决问题。</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w:t>
      </w:r>
      <w:r w:rsidRPr="00CC5582">
        <w:rPr>
          <w:rFonts w:ascii="黑体" w:eastAsia="黑体" w:hAnsi="黑体" w:hint="eastAsia"/>
          <w:kern w:val="0"/>
          <w:sz w:val="32"/>
          <w:szCs w:val="32"/>
        </w:rPr>
        <w:t>第二十六条</w:t>
      </w:r>
      <w:r w:rsidRPr="00CC5582">
        <w:rPr>
          <w:rFonts w:eastAsia="仿宋_GB2312" w:hint="eastAsia"/>
          <w:kern w:val="0"/>
          <w:sz w:val="32"/>
          <w:szCs w:val="32"/>
        </w:rPr>
        <w:t xml:space="preserve">  </w:t>
      </w:r>
      <w:r w:rsidRPr="00CC5582">
        <w:rPr>
          <w:rFonts w:eastAsia="仿宋_GB2312" w:hint="eastAsia"/>
          <w:kern w:val="0"/>
          <w:sz w:val="32"/>
          <w:szCs w:val="32"/>
        </w:rPr>
        <w:t>县级以上人民政府可以建立政府与企业相互交流制度，通过政府部门派员入驻重点企业、重点企业的人员到政府部门跟班学习等形式，推动形成良性互动的政商关系。</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w:t>
      </w:r>
      <w:r w:rsidRPr="00CC5582">
        <w:rPr>
          <w:rFonts w:ascii="黑体" w:eastAsia="黑体" w:hAnsi="黑体" w:hint="eastAsia"/>
          <w:kern w:val="0"/>
          <w:sz w:val="32"/>
          <w:szCs w:val="32"/>
        </w:rPr>
        <w:t xml:space="preserve">　第二十七条</w:t>
      </w:r>
      <w:r w:rsidRPr="00CC5582">
        <w:rPr>
          <w:rFonts w:eastAsia="仿宋_GB2312" w:hint="eastAsia"/>
          <w:kern w:val="0"/>
          <w:sz w:val="32"/>
          <w:szCs w:val="32"/>
        </w:rPr>
        <w:t xml:space="preserve">  </w:t>
      </w:r>
      <w:r w:rsidRPr="00CC5582">
        <w:rPr>
          <w:rFonts w:eastAsia="仿宋_GB2312" w:hint="eastAsia"/>
          <w:kern w:val="0"/>
          <w:sz w:val="32"/>
          <w:szCs w:val="32"/>
        </w:rPr>
        <w:t>县级以上人民政府应当组织本级负责投资促进工作的机构、其他有关部门和园区管理机构，建立健全投资项目引荐、落地实施、全程代办、跟踪服务机制，及时协调解决项目推进中遇到的困难和问题。</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w:t>
      </w:r>
      <w:r w:rsidRPr="00CC5582">
        <w:rPr>
          <w:rFonts w:ascii="黑体" w:eastAsia="黑体" w:hAnsi="黑体" w:hint="eastAsia"/>
          <w:kern w:val="0"/>
          <w:sz w:val="32"/>
          <w:szCs w:val="32"/>
        </w:rPr>
        <w:t>第二十八条</w:t>
      </w:r>
      <w:r w:rsidRPr="00CC5582">
        <w:rPr>
          <w:rFonts w:eastAsia="仿宋_GB2312" w:hint="eastAsia"/>
          <w:kern w:val="0"/>
          <w:sz w:val="32"/>
          <w:szCs w:val="32"/>
        </w:rPr>
        <w:t xml:space="preserve">  </w:t>
      </w:r>
      <w:r w:rsidRPr="00CC5582">
        <w:rPr>
          <w:rFonts w:eastAsia="仿宋_GB2312" w:hint="eastAsia"/>
          <w:kern w:val="0"/>
          <w:sz w:val="32"/>
          <w:szCs w:val="32"/>
        </w:rPr>
        <w:t>供水、供电、供气、通信、排水与污水处理等公用企事业单位，应当按照规定为投资者提供安全、方便、及时、快捷、稳定和价格合理的服务，不得强迫投资者接受不合理的服务条件，不得以任何名义收取不合理费用。</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投资项目可以通过市场化交易方式降低用电成本的，依照有关规定享受电价优惠政策。</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供水、供气企业对能够实现主干管网直接供水、供气的投资项目，应当采取直供方式予以供给。</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w:t>
      </w:r>
      <w:r w:rsidRPr="00CC5582">
        <w:rPr>
          <w:rFonts w:ascii="黑体" w:eastAsia="黑体" w:hAnsi="黑体" w:hint="eastAsia"/>
          <w:kern w:val="0"/>
          <w:sz w:val="32"/>
          <w:szCs w:val="32"/>
        </w:rPr>
        <w:t xml:space="preserve">第二十九条 </w:t>
      </w:r>
      <w:r w:rsidRPr="00CC5582">
        <w:rPr>
          <w:rFonts w:eastAsia="仿宋_GB2312" w:hint="eastAsia"/>
          <w:kern w:val="0"/>
          <w:sz w:val="32"/>
          <w:szCs w:val="32"/>
        </w:rPr>
        <w:t xml:space="preserve"> </w:t>
      </w:r>
      <w:r w:rsidRPr="00CC5582">
        <w:rPr>
          <w:rFonts w:eastAsia="仿宋_GB2312" w:hint="eastAsia"/>
          <w:kern w:val="0"/>
          <w:sz w:val="32"/>
          <w:szCs w:val="32"/>
        </w:rPr>
        <w:t>县级以上人民政府及其有关部门应当及</w:t>
      </w:r>
      <w:r w:rsidRPr="00CC5582">
        <w:rPr>
          <w:rFonts w:eastAsia="仿宋_GB2312" w:hint="eastAsia"/>
          <w:kern w:val="0"/>
          <w:sz w:val="32"/>
          <w:szCs w:val="32"/>
        </w:rPr>
        <w:lastRenderedPageBreak/>
        <w:t>时为投资者提供人才交流、人才培养、人事代理、职称评定、劳动用工、社会保障、子女教育等方面的便捷服务。</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对投资者引进的高层次人才、优秀专业技术和技能人员，按照投资所在地相关政策规定给予支持。</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鼓励和支持投资者与高等院校、科研机构、职业院校（含技工学校）合作开展经营管理人才、专业技术人才和技能人才培养。</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w:t>
      </w:r>
      <w:r w:rsidRPr="00CC5582">
        <w:rPr>
          <w:rFonts w:ascii="黑体" w:eastAsia="黑体" w:hAnsi="黑体" w:hint="eastAsia"/>
          <w:kern w:val="0"/>
          <w:sz w:val="32"/>
          <w:szCs w:val="32"/>
        </w:rPr>
        <w:t xml:space="preserve">第三十条  </w:t>
      </w:r>
      <w:r w:rsidRPr="00CC5582">
        <w:rPr>
          <w:rFonts w:eastAsia="仿宋_GB2312" w:hint="eastAsia"/>
          <w:kern w:val="0"/>
          <w:sz w:val="32"/>
          <w:szCs w:val="32"/>
        </w:rPr>
        <w:t>鼓励和支持行业协会商会以及其他社会中介机构充分发挥各自特长和优势，为投资者提供信息和政策法规等方面的咨询和服务。</w:t>
      </w:r>
    </w:p>
    <w:p w:rsidR="008F6029" w:rsidRDefault="008F6029" w:rsidP="008F6029">
      <w:pPr>
        <w:tabs>
          <w:tab w:val="left" w:pos="8505"/>
        </w:tabs>
        <w:overflowPunct w:val="0"/>
        <w:spacing w:line="600" w:lineRule="exact"/>
        <w:rPr>
          <w:rFonts w:eastAsia="仿宋_GB2312" w:hint="eastAsia"/>
          <w:kern w:val="0"/>
          <w:sz w:val="32"/>
          <w:szCs w:val="32"/>
        </w:rPr>
      </w:pPr>
    </w:p>
    <w:p w:rsidR="008F6029" w:rsidRPr="00CC5582" w:rsidRDefault="008F6029" w:rsidP="008F6029">
      <w:pPr>
        <w:tabs>
          <w:tab w:val="left" w:pos="8505"/>
        </w:tabs>
        <w:overflowPunct w:val="0"/>
        <w:spacing w:line="600" w:lineRule="exact"/>
        <w:jc w:val="center"/>
        <w:rPr>
          <w:rFonts w:ascii="黑体" w:eastAsia="黑体" w:hAnsi="黑体" w:hint="eastAsia"/>
          <w:kern w:val="0"/>
          <w:sz w:val="32"/>
          <w:szCs w:val="32"/>
        </w:rPr>
      </w:pPr>
      <w:r w:rsidRPr="00CC5582">
        <w:rPr>
          <w:rFonts w:ascii="黑体" w:eastAsia="黑体" w:hAnsi="黑体" w:hint="eastAsia"/>
          <w:kern w:val="0"/>
          <w:sz w:val="32"/>
          <w:szCs w:val="32"/>
        </w:rPr>
        <w:t>第四章  权益保障</w:t>
      </w:r>
    </w:p>
    <w:p w:rsidR="008F6029" w:rsidRDefault="008F6029" w:rsidP="008F6029">
      <w:pPr>
        <w:tabs>
          <w:tab w:val="left" w:pos="8505"/>
        </w:tabs>
        <w:overflowPunct w:val="0"/>
        <w:spacing w:line="600" w:lineRule="exact"/>
        <w:rPr>
          <w:rFonts w:ascii="黑体" w:eastAsia="黑体" w:hAnsi="黑体" w:hint="eastAsia"/>
          <w:kern w:val="0"/>
          <w:sz w:val="32"/>
          <w:szCs w:val="32"/>
        </w:rPr>
      </w:pP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ascii="黑体" w:eastAsia="黑体" w:hAnsi="黑体" w:hint="eastAsia"/>
          <w:kern w:val="0"/>
          <w:sz w:val="32"/>
          <w:szCs w:val="32"/>
        </w:rPr>
        <w:t xml:space="preserve">　　第三十一条</w:t>
      </w:r>
      <w:r w:rsidRPr="00CC5582">
        <w:rPr>
          <w:rFonts w:eastAsia="仿宋_GB2312" w:hint="eastAsia"/>
          <w:kern w:val="0"/>
          <w:sz w:val="32"/>
          <w:szCs w:val="32"/>
        </w:rPr>
        <w:t xml:space="preserve">  </w:t>
      </w:r>
      <w:r w:rsidRPr="00CC5582">
        <w:rPr>
          <w:rFonts w:eastAsia="仿宋_GB2312" w:hint="eastAsia"/>
          <w:kern w:val="0"/>
          <w:sz w:val="32"/>
          <w:szCs w:val="32"/>
        </w:rPr>
        <w:t>自治区建立健全保护投资者合法权益工作责任制，有关机关应当在职权范围内依法及时、公正保护投资者合法权益不受侵害。</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w:t>
      </w:r>
      <w:r w:rsidRPr="00CC5582">
        <w:rPr>
          <w:rFonts w:ascii="黑体" w:eastAsia="黑体" w:hAnsi="黑体" w:hint="eastAsia"/>
          <w:kern w:val="0"/>
          <w:sz w:val="32"/>
          <w:szCs w:val="32"/>
        </w:rPr>
        <w:t xml:space="preserve">　第三十二条 </w:t>
      </w:r>
      <w:r w:rsidRPr="00CC5582">
        <w:rPr>
          <w:rFonts w:eastAsia="仿宋_GB2312" w:hint="eastAsia"/>
          <w:kern w:val="0"/>
          <w:sz w:val="32"/>
          <w:szCs w:val="32"/>
        </w:rPr>
        <w:t xml:space="preserve"> </w:t>
      </w:r>
      <w:r w:rsidRPr="00CC5582">
        <w:rPr>
          <w:rFonts w:eastAsia="仿宋_GB2312" w:hint="eastAsia"/>
          <w:kern w:val="0"/>
          <w:sz w:val="32"/>
          <w:szCs w:val="32"/>
        </w:rPr>
        <w:t>各级人民政府以及有关部门制定涉及投资的行政规范性文件和其他政策措施，应当符合法律、法规的规定，应当充分听取投资者与有关行业协会商会的意见和建议；没有法律、法规依据的，不得减损投资者的合法权益或者增加其义务，不得设置市场准入和退出条件，不得干预投资者的正常生产经营活动。</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w:t>
      </w:r>
      <w:r w:rsidRPr="00CC5582">
        <w:rPr>
          <w:rFonts w:ascii="黑体" w:eastAsia="黑体" w:hAnsi="黑体" w:hint="eastAsia"/>
          <w:kern w:val="0"/>
          <w:sz w:val="32"/>
          <w:szCs w:val="32"/>
        </w:rPr>
        <w:t xml:space="preserve">　第三十三条  </w:t>
      </w:r>
      <w:r w:rsidRPr="00CC5582">
        <w:rPr>
          <w:rFonts w:eastAsia="仿宋_GB2312" w:hint="eastAsia"/>
          <w:kern w:val="0"/>
          <w:sz w:val="32"/>
          <w:szCs w:val="32"/>
        </w:rPr>
        <w:t>任何单位和个人不得干扰投资者的正常</w:t>
      </w:r>
      <w:r w:rsidRPr="00CC5582">
        <w:rPr>
          <w:rFonts w:eastAsia="仿宋_GB2312" w:hint="eastAsia"/>
          <w:kern w:val="0"/>
          <w:sz w:val="32"/>
          <w:szCs w:val="32"/>
        </w:rPr>
        <w:lastRenderedPageBreak/>
        <w:t>生产经营活动。干扰投资者正常生产经营活动的，由有关机关责令改正，并依法处理；给投资者造成损害的，依法承担相应法律责任。</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有关国家机关对投资者采取限制人身自由的措施的，应当严格按照法定程序和条件进行，依法保障投资者的合法权利；对涉案财物采取查封、扣押、冻结等措施的，应当依法进行，最大限度减少对投资者正常生产经营活动的影响，不得超权限、超范围、超标的、超时限。</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w:t>
      </w:r>
      <w:r w:rsidRPr="00CC5582">
        <w:rPr>
          <w:rFonts w:ascii="黑体" w:eastAsia="黑体" w:hAnsi="黑体" w:hint="eastAsia"/>
          <w:kern w:val="0"/>
          <w:sz w:val="32"/>
          <w:szCs w:val="32"/>
        </w:rPr>
        <w:t xml:space="preserve">第三十四条 </w:t>
      </w:r>
      <w:r w:rsidRPr="00CC5582">
        <w:rPr>
          <w:rFonts w:eastAsia="仿宋_GB2312" w:hint="eastAsia"/>
          <w:kern w:val="0"/>
          <w:sz w:val="32"/>
          <w:szCs w:val="32"/>
        </w:rPr>
        <w:t xml:space="preserve"> </w:t>
      </w:r>
      <w:r w:rsidRPr="00CC5582">
        <w:rPr>
          <w:rFonts w:eastAsia="仿宋_GB2312" w:hint="eastAsia"/>
          <w:kern w:val="0"/>
          <w:sz w:val="32"/>
          <w:szCs w:val="32"/>
        </w:rPr>
        <w:t>投资者在市场准入准营、资源要素配置、财政支持等方面享受平等待遇。法律、法规另有规定的，从其规定。</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w:t>
      </w:r>
      <w:r w:rsidRPr="00CC5582">
        <w:rPr>
          <w:rFonts w:ascii="黑体" w:eastAsia="黑体" w:hAnsi="黑体" w:hint="eastAsia"/>
          <w:kern w:val="0"/>
          <w:sz w:val="32"/>
          <w:szCs w:val="32"/>
        </w:rPr>
        <w:t>第三十五条</w:t>
      </w:r>
      <w:r w:rsidRPr="00CC5582">
        <w:rPr>
          <w:rFonts w:eastAsia="仿宋_GB2312" w:hint="eastAsia"/>
          <w:kern w:val="0"/>
          <w:sz w:val="32"/>
          <w:szCs w:val="32"/>
        </w:rPr>
        <w:t xml:space="preserve">  </w:t>
      </w:r>
      <w:r w:rsidRPr="00CC5582">
        <w:rPr>
          <w:rFonts w:eastAsia="仿宋_GB2312" w:hint="eastAsia"/>
          <w:kern w:val="0"/>
          <w:sz w:val="32"/>
          <w:szCs w:val="32"/>
        </w:rPr>
        <w:t>各级人民政府以及有关部门树立正确的政绩观，在投资促进过程中承诺的投资条件，应当以书面形式予以明确。对承诺的事项和签订的合同应当依法履行，不得以行政区划调整、政府换届、部门或者人员更替、机构或者职能调整、规划调整或者政策变化等理由单方违约毁约。因国家利益、社会公共利益需要改变政策承诺、合同约定的，应当依照法定权限和程序进行；确实无法履行的，应当积极协商解决；造成损失的，依照有关规定予以赔偿或者补偿。</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w:t>
      </w:r>
      <w:r w:rsidRPr="00CC5582">
        <w:rPr>
          <w:rFonts w:ascii="黑体" w:eastAsia="黑体" w:hAnsi="黑体" w:hint="eastAsia"/>
          <w:kern w:val="0"/>
          <w:sz w:val="32"/>
          <w:szCs w:val="32"/>
        </w:rPr>
        <w:t xml:space="preserve">　第三十六条 </w:t>
      </w:r>
      <w:r w:rsidRPr="00CC5582">
        <w:rPr>
          <w:rFonts w:eastAsia="仿宋_GB2312" w:hint="eastAsia"/>
          <w:kern w:val="0"/>
          <w:sz w:val="32"/>
          <w:szCs w:val="32"/>
        </w:rPr>
        <w:t xml:space="preserve"> </w:t>
      </w:r>
      <w:r w:rsidRPr="00CC5582">
        <w:rPr>
          <w:rFonts w:eastAsia="仿宋_GB2312" w:hint="eastAsia"/>
          <w:kern w:val="0"/>
          <w:sz w:val="32"/>
          <w:szCs w:val="32"/>
        </w:rPr>
        <w:t>投资者认为行政机关及其工作人员实施的行政行为损害其合法权益的，可以依法申请行政复议或者提起行政诉讼，也可以按照本条例规定投诉举报。</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投资者认为行政机关制定的行政规范性文件和其他政</w:t>
      </w:r>
      <w:r w:rsidRPr="00CC5582">
        <w:rPr>
          <w:rFonts w:eastAsia="仿宋_GB2312" w:hint="eastAsia"/>
          <w:kern w:val="0"/>
          <w:sz w:val="32"/>
          <w:szCs w:val="32"/>
        </w:rPr>
        <w:lastRenderedPageBreak/>
        <w:t>策措施损害其合法权益的，可以向制定机关或者有关机关提出意见或者建议。制定机关或者有关机关应当按照规定程序及时处理。</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w:t>
      </w:r>
      <w:r w:rsidRPr="00CC5582">
        <w:rPr>
          <w:rFonts w:ascii="黑体" w:eastAsia="黑体" w:hAnsi="黑体" w:hint="eastAsia"/>
          <w:kern w:val="0"/>
          <w:sz w:val="32"/>
          <w:szCs w:val="32"/>
        </w:rPr>
        <w:t xml:space="preserve">第三十七条 </w:t>
      </w:r>
      <w:r w:rsidRPr="00CC5582">
        <w:rPr>
          <w:rFonts w:eastAsia="仿宋_GB2312" w:hint="eastAsia"/>
          <w:kern w:val="0"/>
          <w:sz w:val="32"/>
          <w:szCs w:val="32"/>
        </w:rPr>
        <w:t xml:space="preserve"> </w:t>
      </w:r>
      <w:r w:rsidRPr="00CC5582">
        <w:rPr>
          <w:rFonts w:eastAsia="仿宋_GB2312" w:hint="eastAsia"/>
          <w:kern w:val="0"/>
          <w:sz w:val="32"/>
          <w:szCs w:val="32"/>
        </w:rPr>
        <w:t>县级以上人民政府应当建立健全投诉举报制度，设立投资投诉举报平台，通过政务服务便民热线，向社会公开投诉举报的渠道，受理并及时办理有关投资的投诉举报。</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县级以上人民政府负责投资促进工作的机构负责投诉举报事项的转办、督办、反馈、核查分析和通报，并每年将投诉举报处理情况报告本级人民政府。</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投诉举报办理制度由自治区投资促进工作机构另行制定。</w:t>
      </w:r>
    </w:p>
    <w:p w:rsidR="008F6029" w:rsidRDefault="008F6029" w:rsidP="008F6029">
      <w:pPr>
        <w:tabs>
          <w:tab w:val="left" w:pos="8505"/>
        </w:tabs>
        <w:overflowPunct w:val="0"/>
        <w:spacing w:line="600" w:lineRule="exact"/>
        <w:rPr>
          <w:rFonts w:eastAsia="仿宋_GB2312" w:hint="eastAsia"/>
          <w:kern w:val="0"/>
          <w:sz w:val="32"/>
          <w:szCs w:val="32"/>
        </w:rPr>
      </w:pPr>
    </w:p>
    <w:p w:rsidR="008F6029" w:rsidRPr="00CC5582" w:rsidRDefault="008F6029" w:rsidP="008F6029">
      <w:pPr>
        <w:tabs>
          <w:tab w:val="left" w:pos="8505"/>
        </w:tabs>
        <w:overflowPunct w:val="0"/>
        <w:spacing w:line="600" w:lineRule="exact"/>
        <w:jc w:val="center"/>
        <w:rPr>
          <w:rFonts w:ascii="黑体" w:eastAsia="黑体" w:hAnsi="黑体" w:hint="eastAsia"/>
          <w:kern w:val="0"/>
          <w:sz w:val="32"/>
          <w:szCs w:val="32"/>
        </w:rPr>
      </w:pPr>
      <w:r w:rsidRPr="00CC5582">
        <w:rPr>
          <w:rFonts w:ascii="黑体" w:eastAsia="黑体" w:hAnsi="黑体" w:hint="eastAsia"/>
          <w:kern w:val="0"/>
          <w:sz w:val="32"/>
          <w:szCs w:val="32"/>
        </w:rPr>
        <w:t>第五章  监督管理</w:t>
      </w:r>
    </w:p>
    <w:p w:rsidR="008F6029" w:rsidRDefault="008F6029" w:rsidP="008F6029">
      <w:pPr>
        <w:tabs>
          <w:tab w:val="left" w:pos="8505"/>
        </w:tabs>
        <w:overflowPunct w:val="0"/>
        <w:spacing w:line="600" w:lineRule="exact"/>
        <w:rPr>
          <w:rFonts w:ascii="黑体" w:eastAsia="黑体" w:hAnsi="黑体" w:hint="eastAsia"/>
          <w:kern w:val="0"/>
          <w:sz w:val="32"/>
          <w:szCs w:val="32"/>
        </w:rPr>
      </w:pP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ascii="黑体" w:eastAsia="黑体" w:hAnsi="黑体" w:hint="eastAsia"/>
          <w:kern w:val="0"/>
          <w:sz w:val="32"/>
          <w:szCs w:val="32"/>
        </w:rPr>
        <w:t xml:space="preserve">　　第三十八条</w:t>
      </w:r>
      <w:r w:rsidRPr="00CC5582">
        <w:rPr>
          <w:rFonts w:eastAsia="仿宋_GB2312" w:hint="eastAsia"/>
          <w:kern w:val="0"/>
          <w:sz w:val="32"/>
          <w:szCs w:val="32"/>
        </w:rPr>
        <w:t xml:space="preserve">  </w:t>
      </w:r>
      <w:r w:rsidRPr="00CC5582">
        <w:rPr>
          <w:rFonts w:eastAsia="仿宋_GB2312" w:hint="eastAsia"/>
          <w:kern w:val="0"/>
          <w:sz w:val="32"/>
          <w:szCs w:val="32"/>
        </w:rPr>
        <w:t>县级以上人民政府应当规范重点投资项目考察论证程序，以产业发展前景、投资规模、经济效益、社会效益、带动能力、环境影响和安全生产等为关键指标，开展项目事前评价，精准对接需求，高效助推投资项目落地。</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w:t>
      </w:r>
      <w:r w:rsidRPr="00CC5582">
        <w:rPr>
          <w:rFonts w:ascii="黑体" w:eastAsia="黑体" w:hAnsi="黑体" w:hint="eastAsia"/>
          <w:kern w:val="0"/>
          <w:sz w:val="32"/>
          <w:szCs w:val="32"/>
        </w:rPr>
        <w:t xml:space="preserve">第三十九条 </w:t>
      </w:r>
      <w:r w:rsidRPr="00CC5582">
        <w:rPr>
          <w:rFonts w:eastAsia="仿宋_GB2312" w:hint="eastAsia"/>
          <w:kern w:val="0"/>
          <w:sz w:val="32"/>
          <w:szCs w:val="32"/>
        </w:rPr>
        <w:t xml:space="preserve"> </w:t>
      </w:r>
      <w:r w:rsidRPr="00CC5582">
        <w:rPr>
          <w:rFonts w:eastAsia="仿宋_GB2312" w:hint="eastAsia"/>
          <w:kern w:val="0"/>
          <w:sz w:val="32"/>
          <w:szCs w:val="32"/>
        </w:rPr>
        <w:t>自治区人民政府应当建立完善投资促进目标责任制度、激励制度和考评体系，对承担投资促进目标任务的设区的市和自治区相关单位完成情况实行绩效考评，对工作成绩突出的设区的市可以优先安排土地等指标。</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lastRenderedPageBreak/>
        <w:t xml:space="preserve">　　</w:t>
      </w:r>
      <w:r w:rsidRPr="00CC5582">
        <w:rPr>
          <w:rFonts w:ascii="黑体" w:eastAsia="黑体" w:hAnsi="黑体" w:hint="eastAsia"/>
          <w:kern w:val="0"/>
          <w:sz w:val="32"/>
          <w:szCs w:val="32"/>
        </w:rPr>
        <w:t>第四十条</w:t>
      </w:r>
      <w:r w:rsidRPr="00CC5582">
        <w:rPr>
          <w:rFonts w:eastAsia="仿宋_GB2312" w:hint="eastAsia"/>
          <w:kern w:val="0"/>
          <w:sz w:val="32"/>
          <w:szCs w:val="32"/>
        </w:rPr>
        <w:t xml:space="preserve">  </w:t>
      </w:r>
      <w:r w:rsidRPr="00CC5582">
        <w:rPr>
          <w:rFonts w:eastAsia="仿宋_GB2312" w:hint="eastAsia"/>
          <w:kern w:val="0"/>
          <w:sz w:val="32"/>
          <w:szCs w:val="32"/>
        </w:rPr>
        <w:t>上级人民政府应当对未依照本条例规定履行投资促进职责和年度投资促进考评不合格的下一级人民政府主要负责人进行约谈。</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县级以上人民政府负责投资促进工作的机构和有关部门未依照本条例规定履行投资促进职责的，本级人民政府或者上一级人民政府有关主管部门应当对其主要负责人进行约谈。</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约谈对象应当在约谈规定的期限内书面报告约谈内容的整改落实情况。</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w:t>
      </w:r>
      <w:r w:rsidRPr="00CC5582">
        <w:rPr>
          <w:rFonts w:ascii="黑体" w:eastAsia="黑体" w:hAnsi="黑体" w:hint="eastAsia"/>
          <w:kern w:val="0"/>
          <w:sz w:val="32"/>
          <w:szCs w:val="32"/>
        </w:rPr>
        <w:t>第四十一条</w:t>
      </w:r>
      <w:r w:rsidRPr="00CC5582">
        <w:rPr>
          <w:rFonts w:eastAsia="仿宋_GB2312" w:hint="eastAsia"/>
          <w:kern w:val="0"/>
          <w:sz w:val="32"/>
          <w:szCs w:val="32"/>
        </w:rPr>
        <w:t xml:space="preserve">  </w:t>
      </w:r>
      <w:r w:rsidRPr="00CC5582">
        <w:rPr>
          <w:rFonts w:eastAsia="仿宋_GB2312" w:hint="eastAsia"/>
          <w:kern w:val="0"/>
          <w:sz w:val="32"/>
          <w:szCs w:val="32"/>
        </w:rPr>
        <w:t>自治区建立投资促进容错机制，鼓励有关部门结合实际情况，在法治框架内探索投资促进的创新措施；对探索中出现失误或者偏差，符合规定条件的，按照有关规定从轻、减轻或者免予追责。</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经确定予以免责的单位和个人，在评先评优、职务职级晋升、职称评聘等方面不受影响。</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对恶意中伤、诬告陷害，干扰经济社会发展的，应当依法追究责任；对受到不实反映或者诬告陷害的单位和个人，依法及时予以纠正，并消除负面影响。</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w:t>
      </w:r>
      <w:r w:rsidRPr="00CC5582">
        <w:rPr>
          <w:rFonts w:ascii="黑体" w:eastAsia="黑体" w:hAnsi="黑体" w:hint="eastAsia"/>
          <w:kern w:val="0"/>
          <w:sz w:val="32"/>
          <w:szCs w:val="32"/>
        </w:rPr>
        <w:t xml:space="preserve">第四十二条 </w:t>
      </w:r>
      <w:r w:rsidRPr="00CC5582">
        <w:rPr>
          <w:rFonts w:eastAsia="仿宋_GB2312" w:hint="eastAsia"/>
          <w:kern w:val="0"/>
          <w:sz w:val="32"/>
          <w:szCs w:val="32"/>
        </w:rPr>
        <w:t xml:space="preserve"> </w:t>
      </w:r>
      <w:r w:rsidRPr="00CC5582">
        <w:rPr>
          <w:rFonts w:eastAsia="仿宋_GB2312" w:hint="eastAsia"/>
          <w:kern w:val="0"/>
          <w:sz w:val="32"/>
          <w:szCs w:val="32"/>
        </w:rPr>
        <w:t>投资者应当合法经营，诚实守信，不得损害国家利益、社会公共利益或者他人合法权益，不得采取虚假投资或者其他违法手段骗取投资待遇。</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w:t>
      </w:r>
      <w:r w:rsidRPr="00CC5582">
        <w:rPr>
          <w:rFonts w:ascii="黑体" w:eastAsia="黑体" w:hAnsi="黑体" w:hint="eastAsia"/>
          <w:kern w:val="0"/>
          <w:sz w:val="32"/>
          <w:szCs w:val="32"/>
        </w:rPr>
        <w:t xml:space="preserve">　第四十三条</w:t>
      </w:r>
      <w:r w:rsidRPr="00CC5582">
        <w:rPr>
          <w:rFonts w:eastAsia="仿宋_GB2312" w:hint="eastAsia"/>
          <w:kern w:val="0"/>
          <w:sz w:val="32"/>
          <w:szCs w:val="32"/>
        </w:rPr>
        <w:t xml:space="preserve">  </w:t>
      </w:r>
      <w:r w:rsidRPr="00CC5582">
        <w:rPr>
          <w:rFonts w:eastAsia="仿宋_GB2312" w:hint="eastAsia"/>
          <w:kern w:val="0"/>
          <w:sz w:val="32"/>
          <w:szCs w:val="32"/>
        </w:rPr>
        <w:t>县级以上人民政府可以对投资项目进行生态环境保护、经济效益、诚信经营、社会影响等方面的评</w:t>
      </w:r>
      <w:r w:rsidRPr="00CC5582">
        <w:rPr>
          <w:rFonts w:eastAsia="仿宋_GB2312" w:hint="eastAsia"/>
          <w:kern w:val="0"/>
          <w:sz w:val="32"/>
          <w:szCs w:val="32"/>
        </w:rPr>
        <w:lastRenderedPageBreak/>
        <w:t>估（评价）</w:t>
      </w:r>
      <w:r w:rsidRPr="00CC5582">
        <w:rPr>
          <w:rFonts w:eastAsia="仿宋_GB2312" w:hint="eastAsia"/>
          <w:kern w:val="0"/>
          <w:sz w:val="32"/>
          <w:szCs w:val="32"/>
        </w:rPr>
        <w:t>,</w:t>
      </w:r>
      <w:r w:rsidRPr="00CC5582">
        <w:rPr>
          <w:rFonts w:eastAsia="仿宋_GB2312" w:hint="eastAsia"/>
          <w:kern w:val="0"/>
          <w:sz w:val="32"/>
          <w:szCs w:val="32"/>
        </w:rPr>
        <w:t>评估（评价）结果作为日常监管、政府扶持的重要参考。</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开展投资项目评估（评价）</w:t>
      </w:r>
      <w:r w:rsidRPr="00CC5582">
        <w:rPr>
          <w:rFonts w:eastAsia="仿宋_GB2312" w:hint="eastAsia"/>
          <w:kern w:val="0"/>
          <w:sz w:val="32"/>
          <w:szCs w:val="32"/>
        </w:rPr>
        <w:t>,</w:t>
      </w:r>
      <w:r w:rsidRPr="00CC5582">
        <w:rPr>
          <w:rFonts w:eastAsia="仿宋_GB2312" w:hint="eastAsia"/>
          <w:kern w:val="0"/>
          <w:sz w:val="32"/>
          <w:szCs w:val="32"/>
        </w:rPr>
        <w:t>应当邀请发展改革、工业和信息化、财政、自然资源、生态环境、商务、农业农村、统计等部门以及有关专家参加，也可以委托第三方评估（评价）机构进行。</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w:t>
      </w:r>
      <w:r w:rsidRPr="00CC5582">
        <w:rPr>
          <w:rFonts w:ascii="黑体" w:eastAsia="黑体" w:hAnsi="黑体" w:hint="eastAsia"/>
          <w:kern w:val="0"/>
          <w:sz w:val="32"/>
          <w:szCs w:val="32"/>
        </w:rPr>
        <w:t xml:space="preserve">第四十四条 </w:t>
      </w:r>
      <w:r w:rsidRPr="00CC5582">
        <w:rPr>
          <w:rFonts w:eastAsia="仿宋_GB2312" w:hint="eastAsia"/>
          <w:kern w:val="0"/>
          <w:sz w:val="32"/>
          <w:szCs w:val="32"/>
        </w:rPr>
        <w:t xml:space="preserve"> </w:t>
      </w:r>
      <w:r w:rsidRPr="00CC5582">
        <w:rPr>
          <w:rFonts w:eastAsia="仿宋_GB2312" w:hint="eastAsia"/>
          <w:kern w:val="0"/>
          <w:sz w:val="32"/>
          <w:szCs w:val="32"/>
        </w:rPr>
        <w:t>县级以上人民政府应当定期清理违约的投资项目，对根本违约或者因客观条件变化无法实现的投资项目，依法执行退出机制，确保要素资源有效利用。</w:t>
      </w:r>
    </w:p>
    <w:p w:rsidR="008F6029" w:rsidRDefault="008F6029" w:rsidP="008F6029">
      <w:pPr>
        <w:tabs>
          <w:tab w:val="left" w:pos="8505"/>
        </w:tabs>
        <w:overflowPunct w:val="0"/>
        <w:spacing w:line="600" w:lineRule="exact"/>
        <w:ind w:firstLine="660"/>
        <w:rPr>
          <w:rFonts w:eastAsia="仿宋_GB2312" w:hint="eastAsia"/>
          <w:kern w:val="0"/>
          <w:sz w:val="32"/>
          <w:szCs w:val="32"/>
        </w:rPr>
      </w:pPr>
      <w:r w:rsidRPr="00CC5582">
        <w:rPr>
          <w:rFonts w:ascii="黑体" w:eastAsia="黑体" w:hAnsi="黑体" w:hint="eastAsia"/>
          <w:kern w:val="0"/>
          <w:sz w:val="32"/>
          <w:szCs w:val="32"/>
        </w:rPr>
        <w:t xml:space="preserve">第四十五条 </w:t>
      </w:r>
      <w:r w:rsidRPr="00CC5582">
        <w:rPr>
          <w:rFonts w:eastAsia="仿宋_GB2312" w:hint="eastAsia"/>
          <w:kern w:val="0"/>
          <w:sz w:val="32"/>
          <w:szCs w:val="32"/>
        </w:rPr>
        <w:t xml:space="preserve"> </w:t>
      </w:r>
      <w:r w:rsidRPr="00CC5582">
        <w:rPr>
          <w:rFonts w:eastAsia="仿宋_GB2312" w:hint="eastAsia"/>
          <w:kern w:val="0"/>
          <w:sz w:val="32"/>
          <w:szCs w:val="32"/>
        </w:rPr>
        <w:t>自治区人民政府应当组织有关部门对投资促进工作开展情况和投资投诉举报突出的问题、领域开展专项督查，及时</w:t>
      </w:r>
      <w:proofErr w:type="gramStart"/>
      <w:r w:rsidRPr="00CC5582">
        <w:rPr>
          <w:rFonts w:eastAsia="仿宋_GB2312" w:hint="eastAsia"/>
          <w:kern w:val="0"/>
          <w:sz w:val="32"/>
          <w:szCs w:val="32"/>
        </w:rPr>
        <w:t>作出</w:t>
      </w:r>
      <w:proofErr w:type="gramEnd"/>
      <w:r w:rsidRPr="00CC5582">
        <w:rPr>
          <w:rFonts w:eastAsia="仿宋_GB2312" w:hint="eastAsia"/>
          <w:kern w:val="0"/>
          <w:sz w:val="32"/>
          <w:szCs w:val="32"/>
        </w:rPr>
        <w:t>督查结论。</w:t>
      </w:r>
    </w:p>
    <w:p w:rsidR="008F6029" w:rsidRDefault="008F6029" w:rsidP="008F6029">
      <w:pPr>
        <w:tabs>
          <w:tab w:val="left" w:pos="8505"/>
        </w:tabs>
        <w:overflowPunct w:val="0"/>
        <w:spacing w:line="600" w:lineRule="exact"/>
        <w:rPr>
          <w:rFonts w:eastAsia="仿宋_GB2312" w:hint="eastAsia"/>
          <w:kern w:val="0"/>
          <w:sz w:val="32"/>
          <w:szCs w:val="32"/>
        </w:rPr>
      </w:pPr>
    </w:p>
    <w:p w:rsidR="008F6029" w:rsidRPr="00CC5582" w:rsidRDefault="008F6029" w:rsidP="008F6029">
      <w:pPr>
        <w:tabs>
          <w:tab w:val="left" w:pos="8505"/>
        </w:tabs>
        <w:overflowPunct w:val="0"/>
        <w:spacing w:line="600" w:lineRule="exact"/>
        <w:jc w:val="center"/>
        <w:rPr>
          <w:rFonts w:ascii="黑体" w:eastAsia="黑体" w:hAnsi="黑体" w:hint="eastAsia"/>
          <w:kern w:val="0"/>
          <w:sz w:val="32"/>
          <w:szCs w:val="32"/>
        </w:rPr>
      </w:pPr>
      <w:r w:rsidRPr="00CC5582">
        <w:rPr>
          <w:rFonts w:ascii="黑体" w:eastAsia="黑体" w:hAnsi="黑体" w:hint="eastAsia"/>
          <w:kern w:val="0"/>
          <w:sz w:val="32"/>
          <w:szCs w:val="32"/>
        </w:rPr>
        <w:t>第六章  法律责任</w:t>
      </w:r>
    </w:p>
    <w:p w:rsidR="008F6029"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w:t>
      </w:r>
    </w:p>
    <w:p w:rsidR="008F6029" w:rsidRPr="00CC5582" w:rsidRDefault="008F6029" w:rsidP="008F6029">
      <w:pPr>
        <w:tabs>
          <w:tab w:val="left" w:pos="8505"/>
        </w:tabs>
        <w:overflowPunct w:val="0"/>
        <w:spacing w:line="600" w:lineRule="exact"/>
        <w:rPr>
          <w:rFonts w:eastAsia="仿宋_GB2312" w:hint="eastAsia"/>
          <w:kern w:val="0"/>
          <w:sz w:val="32"/>
          <w:szCs w:val="32"/>
        </w:rPr>
      </w:pPr>
      <w:r>
        <w:rPr>
          <w:rFonts w:eastAsia="仿宋_GB2312" w:hint="eastAsia"/>
          <w:kern w:val="0"/>
          <w:sz w:val="32"/>
          <w:szCs w:val="32"/>
        </w:rPr>
        <w:t xml:space="preserve">    </w:t>
      </w:r>
      <w:r w:rsidRPr="00CC5582">
        <w:rPr>
          <w:rFonts w:ascii="黑体" w:eastAsia="黑体" w:hAnsi="黑体" w:hint="eastAsia"/>
          <w:kern w:val="0"/>
          <w:sz w:val="32"/>
          <w:szCs w:val="32"/>
        </w:rPr>
        <w:t>第四十六条</w:t>
      </w:r>
      <w:r w:rsidRPr="00CC5582">
        <w:rPr>
          <w:rFonts w:eastAsia="仿宋_GB2312" w:hint="eastAsia"/>
          <w:kern w:val="0"/>
          <w:sz w:val="32"/>
          <w:szCs w:val="32"/>
        </w:rPr>
        <w:t xml:space="preserve">  </w:t>
      </w:r>
      <w:r w:rsidRPr="00CC5582">
        <w:rPr>
          <w:rFonts w:eastAsia="仿宋_GB2312" w:hint="eastAsia"/>
          <w:kern w:val="0"/>
          <w:sz w:val="32"/>
          <w:szCs w:val="32"/>
        </w:rPr>
        <w:t>违反本条例规定的行为，法律、行政法规已有法律责任规定的，从其规定。</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w:t>
      </w:r>
      <w:r w:rsidRPr="00CC5582">
        <w:rPr>
          <w:rFonts w:ascii="黑体" w:eastAsia="黑体" w:hAnsi="黑体" w:hint="eastAsia"/>
          <w:kern w:val="0"/>
          <w:sz w:val="32"/>
          <w:szCs w:val="32"/>
        </w:rPr>
        <w:t xml:space="preserve">第四十七条 </w:t>
      </w:r>
      <w:r w:rsidRPr="00CC5582">
        <w:rPr>
          <w:rFonts w:eastAsia="仿宋_GB2312" w:hint="eastAsia"/>
          <w:kern w:val="0"/>
          <w:sz w:val="32"/>
          <w:szCs w:val="32"/>
        </w:rPr>
        <w:t xml:space="preserve"> </w:t>
      </w:r>
      <w:r w:rsidRPr="00CC5582">
        <w:rPr>
          <w:rFonts w:eastAsia="仿宋_GB2312" w:hint="eastAsia"/>
          <w:kern w:val="0"/>
          <w:sz w:val="32"/>
          <w:szCs w:val="32"/>
        </w:rPr>
        <w:t>县级以上人民政府及其有关部门的工作人员在开展投资促进活动中滥用职权、徇私舞弊、玩忽职守的，对直接负责的主管人员和其他直接责任人员依法给予处分；构成犯罪的，依法追究刑事责任。</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w:t>
      </w:r>
      <w:r w:rsidRPr="00CC5582">
        <w:rPr>
          <w:rFonts w:ascii="黑体" w:eastAsia="黑体" w:hAnsi="黑体" w:hint="eastAsia"/>
          <w:kern w:val="0"/>
          <w:sz w:val="32"/>
          <w:szCs w:val="32"/>
        </w:rPr>
        <w:t>第四十八条</w:t>
      </w:r>
      <w:r w:rsidRPr="00CC5582">
        <w:rPr>
          <w:rFonts w:eastAsia="仿宋_GB2312" w:hint="eastAsia"/>
          <w:kern w:val="0"/>
          <w:sz w:val="32"/>
          <w:szCs w:val="32"/>
        </w:rPr>
        <w:t xml:space="preserve">  </w:t>
      </w:r>
      <w:r w:rsidRPr="00CC5582">
        <w:rPr>
          <w:rFonts w:eastAsia="仿宋_GB2312" w:hint="eastAsia"/>
          <w:kern w:val="0"/>
          <w:sz w:val="32"/>
          <w:szCs w:val="32"/>
        </w:rPr>
        <w:t>任何单位和个人在开展投资促进活动中弄虚作假，骗取奖励的，由原奖励决定机关取消该奖励，追</w:t>
      </w:r>
      <w:r w:rsidRPr="00CC5582">
        <w:rPr>
          <w:rFonts w:eastAsia="仿宋_GB2312" w:hint="eastAsia"/>
          <w:kern w:val="0"/>
          <w:sz w:val="32"/>
          <w:szCs w:val="32"/>
        </w:rPr>
        <w:lastRenderedPageBreak/>
        <w:t>回奖金，并依法将违法情况纳入全国公共信用信息共享平台；构成犯罪的，依法追究刑事责任。</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w:t>
      </w:r>
      <w:r w:rsidRPr="00CC5582">
        <w:rPr>
          <w:rFonts w:ascii="黑体" w:eastAsia="黑体" w:hAnsi="黑体" w:hint="eastAsia"/>
          <w:kern w:val="0"/>
          <w:sz w:val="32"/>
          <w:szCs w:val="32"/>
        </w:rPr>
        <w:t xml:space="preserve">第四十九条 </w:t>
      </w:r>
      <w:r w:rsidRPr="00CC5582">
        <w:rPr>
          <w:rFonts w:eastAsia="仿宋_GB2312" w:hint="eastAsia"/>
          <w:kern w:val="0"/>
          <w:sz w:val="32"/>
          <w:szCs w:val="32"/>
        </w:rPr>
        <w:t xml:space="preserve"> </w:t>
      </w:r>
      <w:r w:rsidRPr="00CC5582">
        <w:rPr>
          <w:rFonts w:eastAsia="仿宋_GB2312" w:hint="eastAsia"/>
          <w:kern w:val="0"/>
          <w:sz w:val="32"/>
          <w:szCs w:val="32"/>
        </w:rPr>
        <w:t>供水、供电、供气、通信、排水与污水处理等公用企事业单位违反本条例规定，损害投资者合法权益的，由有关主管部门责令改正，除依法给予处罚外，还应当将违法情况纳入全国公共信用信息共享平台，依法实施信用惩戒。</w:t>
      </w:r>
    </w:p>
    <w:p w:rsidR="008F6029" w:rsidRPr="00CC5582" w:rsidRDefault="008F6029" w:rsidP="008F6029">
      <w:pPr>
        <w:tabs>
          <w:tab w:val="left" w:pos="8505"/>
        </w:tabs>
        <w:overflowPunct w:val="0"/>
        <w:spacing w:line="600" w:lineRule="exact"/>
        <w:rPr>
          <w:rFonts w:eastAsia="仿宋_GB2312" w:hint="eastAsia"/>
          <w:kern w:val="0"/>
          <w:sz w:val="32"/>
          <w:szCs w:val="32"/>
        </w:rPr>
      </w:pPr>
      <w:r w:rsidRPr="00CC5582">
        <w:rPr>
          <w:rFonts w:eastAsia="仿宋_GB2312" w:hint="eastAsia"/>
          <w:kern w:val="0"/>
          <w:sz w:val="32"/>
          <w:szCs w:val="32"/>
        </w:rPr>
        <w:t xml:space="preserve">　　</w:t>
      </w:r>
      <w:r w:rsidRPr="00CC5582">
        <w:rPr>
          <w:rFonts w:ascii="黑体" w:eastAsia="黑体" w:hAnsi="黑体" w:hint="eastAsia"/>
          <w:kern w:val="0"/>
          <w:sz w:val="32"/>
          <w:szCs w:val="32"/>
        </w:rPr>
        <w:t xml:space="preserve">第五十条 </w:t>
      </w:r>
      <w:r w:rsidRPr="00CC5582">
        <w:rPr>
          <w:rFonts w:eastAsia="仿宋_GB2312" w:hint="eastAsia"/>
          <w:kern w:val="0"/>
          <w:sz w:val="32"/>
          <w:szCs w:val="32"/>
        </w:rPr>
        <w:t xml:space="preserve"> </w:t>
      </w:r>
      <w:r w:rsidRPr="00CC5582">
        <w:rPr>
          <w:rFonts w:eastAsia="仿宋_GB2312" w:hint="eastAsia"/>
          <w:kern w:val="0"/>
          <w:sz w:val="32"/>
          <w:szCs w:val="32"/>
        </w:rPr>
        <w:t>投资者违反本条例规定，采取虚假投资或者其他违法手段骗取投资待遇的，由有关主管部门取消其待遇，追缴违法所得，依法给予处罚并纳入全国公共信用信息共享平台；构成犯罪的，依法追究刑事责任。</w:t>
      </w:r>
    </w:p>
    <w:p w:rsidR="008F6029" w:rsidRDefault="008F6029" w:rsidP="008F6029">
      <w:pPr>
        <w:tabs>
          <w:tab w:val="left" w:pos="8505"/>
        </w:tabs>
        <w:overflowPunct w:val="0"/>
        <w:spacing w:line="600" w:lineRule="exact"/>
        <w:rPr>
          <w:rFonts w:eastAsia="仿宋_GB2312" w:hint="eastAsia"/>
          <w:kern w:val="0"/>
          <w:sz w:val="32"/>
          <w:szCs w:val="32"/>
        </w:rPr>
      </w:pPr>
    </w:p>
    <w:p w:rsidR="008F6029" w:rsidRPr="00CC5582" w:rsidRDefault="008F6029" w:rsidP="008F6029">
      <w:pPr>
        <w:tabs>
          <w:tab w:val="left" w:pos="8505"/>
        </w:tabs>
        <w:overflowPunct w:val="0"/>
        <w:spacing w:line="600" w:lineRule="exact"/>
        <w:jc w:val="center"/>
        <w:rPr>
          <w:rFonts w:ascii="黑体" w:eastAsia="黑体" w:hAnsi="黑体" w:hint="eastAsia"/>
          <w:kern w:val="0"/>
          <w:sz w:val="32"/>
          <w:szCs w:val="32"/>
        </w:rPr>
      </w:pPr>
      <w:r w:rsidRPr="00CC5582">
        <w:rPr>
          <w:rFonts w:ascii="黑体" w:eastAsia="黑体" w:hAnsi="黑体" w:hint="eastAsia"/>
          <w:kern w:val="0"/>
          <w:sz w:val="32"/>
          <w:szCs w:val="32"/>
        </w:rPr>
        <w:t>第七章  附则</w:t>
      </w:r>
    </w:p>
    <w:p w:rsidR="008F6029" w:rsidRDefault="008F6029" w:rsidP="008F6029">
      <w:pPr>
        <w:tabs>
          <w:tab w:val="left" w:pos="8505"/>
        </w:tabs>
        <w:overflowPunct w:val="0"/>
        <w:spacing w:line="600" w:lineRule="exact"/>
        <w:rPr>
          <w:rFonts w:ascii="黑体" w:eastAsia="黑体" w:hAnsi="黑体" w:hint="eastAsia"/>
          <w:kern w:val="0"/>
          <w:sz w:val="32"/>
          <w:szCs w:val="32"/>
        </w:rPr>
      </w:pPr>
    </w:p>
    <w:p w:rsidR="008F6029" w:rsidRPr="00CC5582" w:rsidRDefault="008F6029" w:rsidP="008F6029">
      <w:pPr>
        <w:tabs>
          <w:tab w:val="left" w:pos="8505"/>
        </w:tabs>
        <w:overflowPunct w:val="0"/>
        <w:spacing w:line="600" w:lineRule="exact"/>
        <w:ind w:firstLineChars="200" w:firstLine="640"/>
        <w:rPr>
          <w:rFonts w:eastAsia="仿宋_GB2312" w:hint="eastAsia"/>
          <w:kern w:val="0"/>
          <w:sz w:val="32"/>
          <w:szCs w:val="32"/>
        </w:rPr>
      </w:pPr>
      <w:r w:rsidRPr="00CC5582">
        <w:rPr>
          <w:rFonts w:ascii="黑体" w:eastAsia="黑体" w:hAnsi="黑体" w:hint="eastAsia"/>
          <w:kern w:val="0"/>
          <w:sz w:val="32"/>
          <w:szCs w:val="32"/>
        </w:rPr>
        <w:t>第五十一条</w:t>
      </w:r>
      <w:r w:rsidRPr="00CC5582">
        <w:rPr>
          <w:rFonts w:eastAsia="仿宋_GB2312" w:hint="eastAsia"/>
          <w:kern w:val="0"/>
          <w:sz w:val="32"/>
          <w:szCs w:val="32"/>
        </w:rPr>
        <w:t xml:space="preserve">  </w:t>
      </w:r>
      <w:r w:rsidRPr="00CC5582">
        <w:rPr>
          <w:rFonts w:eastAsia="仿宋_GB2312" w:hint="eastAsia"/>
          <w:kern w:val="0"/>
          <w:sz w:val="32"/>
          <w:szCs w:val="32"/>
        </w:rPr>
        <w:t>本条例自</w:t>
      </w:r>
      <w:smartTag w:uri="urn:schemas-microsoft-com:office:smarttags" w:element="chsdate">
        <w:smartTagPr>
          <w:attr w:name="Year" w:val="2021"/>
          <w:attr w:name="Month" w:val="9"/>
          <w:attr w:name="Day" w:val="1"/>
          <w:attr w:name="IsLunarDate" w:val="False"/>
          <w:attr w:name="IsROCDate" w:val="False"/>
        </w:smartTagPr>
        <w:r w:rsidRPr="00CC5582">
          <w:rPr>
            <w:rFonts w:eastAsia="仿宋_GB2312" w:hint="eastAsia"/>
            <w:kern w:val="0"/>
            <w:sz w:val="32"/>
            <w:szCs w:val="32"/>
          </w:rPr>
          <w:t>2021</w:t>
        </w:r>
        <w:r w:rsidRPr="00CC5582">
          <w:rPr>
            <w:rFonts w:eastAsia="仿宋_GB2312" w:hint="eastAsia"/>
            <w:kern w:val="0"/>
            <w:sz w:val="32"/>
            <w:szCs w:val="32"/>
          </w:rPr>
          <w:t>年</w:t>
        </w:r>
        <w:r w:rsidRPr="00CC5582">
          <w:rPr>
            <w:rFonts w:eastAsia="仿宋_GB2312" w:hint="eastAsia"/>
            <w:kern w:val="0"/>
            <w:sz w:val="32"/>
            <w:szCs w:val="32"/>
          </w:rPr>
          <w:t>9</w:t>
        </w:r>
        <w:r w:rsidRPr="00CC5582">
          <w:rPr>
            <w:rFonts w:eastAsia="仿宋_GB2312" w:hint="eastAsia"/>
            <w:kern w:val="0"/>
            <w:sz w:val="32"/>
            <w:szCs w:val="32"/>
          </w:rPr>
          <w:t>月</w:t>
        </w:r>
        <w:r w:rsidRPr="00CC5582">
          <w:rPr>
            <w:rFonts w:eastAsia="仿宋_GB2312" w:hint="eastAsia"/>
            <w:kern w:val="0"/>
            <w:sz w:val="32"/>
            <w:szCs w:val="32"/>
          </w:rPr>
          <w:t>1</w:t>
        </w:r>
        <w:r w:rsidRPr="00CC5582">
          <w:rPr>
            <w:rFonts w:eastAsia="仿宋_GB2312" w:hint="eastAsia"/>
            <w:kern w:val="0"/>
            <w:sz w:val="32"/>
            <w:szCs w:val="32"/>
          </w:rPr>
          <w:t>日起</w:t>
        </w:r>
      </w:smartTag>
      <w:r w:rsidRPr="00CC5582">
        <w:rPr>
          <w:rFonts w:eastAsia="仿宋_GB2312" w:hint="eastAsia"/>
          <w:kern w:val="0"/>
          <w:sz w:val="32"/>
          <w:szCs w:val="32"/>
        </w:rPr>
        <w:t>施行。</w:t>
      </w:r>
    </w:p>
    <w:p w:rsidR="008F6029" w:rsidRPr="00CC5582" w:rsidRDefault="008F6029" w:rsidP="008F6029">
      <w:pPr>
        <w:tabs>
          <w:tab w:val="left" w:pos="8505"/>
        </w:tabs>
        <w:overflowPunct w:val="0"/>
        <w:spacing w:line="600" w:lineRule="exact"/>
        <w:rPr>
          <w:rFonts w:eastAsia="仿宋_GB2312"/>
          <w:kern w:val="0"/>
          <w:sz w:val="32"/>
          <w:szCs w:val="32"/>
        </w:rPr>
      </w:pPr>
    </w:p>
    <w:p w:rsidR="002A6FD6" w:rsidRPr="008F6029" w:rsidRDefault="002A6FD6" w:rsidP="008F6029">
      <w:pPr>
        <w:tabs>
          <w:tab w:val="left" w:pos="8505"/>
        </w:tabs>
        <w:overflowPunct w:val="0"/>
        <w:spacing w:line="600" w:lineRule="exact"/>
        <w:rPr>
          <w:rFonts w:eastAsia="仿宋_GB2312"/>
          <w:kern w:val="0"/>
          <w:sz w:val="32"/>
          <w:szCs w:val="32"/>
        </w:rPr>
      </w:pPr>
      <w:bookmarkStart w:id="0" w:name="_GoBack"/>
      <w:bookmarkEnd w:id="0"/>
    </w:p>
    <w:sectPr w:rsidR="002A6FD6" w:rsidRPr="008F6029">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6029" w:rsidRDefault="008F6029" w:rsidP="008F6029">
      <w:r>
        <w:separator/>
      </w:r>
    </w:p>
  </w:endnote>
  <w:endnote w:type="continuationSeparator" w:id="0">
    <w:p w:rsidR="008F6029" w:rsidRDefault="008F6029" w:rsidP="008F6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6693374"/>
      <w:docPartObj>
        <w:docPartGallery w:val="Page Numbers (Bottom of Page)"/>
        <w:docPartUnique/>
      </w:docPartObj>
    </w:sdtPr>
    <w:sdtContent>
      <w:p w:rsidR="00913EF9" w:rsidRDefault="00913EF9">
        <w:pPr>
          <w:pStyle w:val="a4"/>
          <w:jc w:val="center"/>
        </w:pPr>
        <w:r>
          <w:fldChar w:fldCharType="begin"/>
        </w:r>
        <w:r>
          <w:instrText>PAGE   \* MERGEFORMAT</w:instrText>
        </w:r>
        <w:r>
          <w:fldChar w:fldCharType="separate"/>
        </w:r>
        <w:r w:rsidRPr="00913EF9">
          <w:rPr>
            <w:noProof/>
            <w:lang w:val="zh-CN"/>
          </w:rPr>
          <w:t>1</w:t>
        </w:r>
        <w:r>
          <w:fldChar w:fldCharType="end"/>
        </w:r>
      </w:p>
    </w:sdtContent>
  </w:sdt>
  <w:p w:rsidR="00913EF9" w:rsidRDefault="00913EF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6029" w:rsidRDefault="008F6029" w:rsidP="008F6029">
      <w:r>
        <w:separator/>
      </w:r>
    </w:p>
  </w:footnote>
  <w:footnote w:type="continuationSeparator" w:id="0">
    <w:p w:rsidR="008F6029" w:rsidRDefault="008F6029" w:rsidP="008F60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736"/>
    <w:rsid w:val="001B3736"/>
    <w:rsid w:val="002A6FD6"/>
    <w:rsid w:val="008F6029"/>
    <w:rsid w:val="00913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602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602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8F6029"/>
    <w:rPr>
      <w:sz w:val="18"/>
      <w:szCs w:val="18"/>
    </w:rPr>
  </w:style>
  <w:style w:type="paragraph" w:styleId="a4">
    <w:name w:val="footer"/>
    <w:basedOn w:val="a"/>
    <w:link w:val="Char0"/>
    <w:uiPriority w:val="99"/>
    <w:unhideWhenUsed/>
    <w:rsid w:val="008F602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8F602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602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602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8F6029"/>
    <w:rPr>
      <w:sz w:val="18"/>
      <w:szCs w:val="18"/>
    </w:rPr>
  </w:style>
  <w:style w:type="paragraph" w:styleId="a4">
    <w:name w:val="footer"/>
    <w:basedOn w:val="a"/>
    <w:link w:val="Char0"/>
    <w:uiPriority w:val="99"/>
    <w:unhideWhenUsed/>
    <w:rsid w:val="008F602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8F60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983</Words>
  <Characters>5604</Characters>
  <Application>Microsoft Office Word</Application>
  <DocSecurity>0</DocSecurity>
  <Lines>46</Lines>
  <Paragraphs>13</Paragraphs>
  <ScaleCrop>false</ScaleCrop>
  <Company/>
  <LinksUpToDate>false</LinksUpToDate>
  <CharactersWithSpaces>6574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2021-08-17T02:54:00Z</dcterms:created>
  <dcterms:modified xsi:type="dcterms:W3CDTF">2021-08-17T02:55:00Z</dcterms:modified>
</cp:coreProperties>
</file>