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cs="Times New Roman"/>
          <w:sz w:val="44"/>
          <w:szCs w:val="44"/>
        </w:rPr>
      </w:pPr>
      <w:r>
        <w:rPr>
          <w:rFonts w:ascii="Times New Roman" w:hAnsi="宋体" w:cs="Times New Roman"/>
          <w:sz w:val="44"/>
          <w:szCs w:val="44"/>
        </w:rPr>
        <w:t>广西壮族自治区饮用水水源保护条例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1059" w:firstLineChars="331"/>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（2017年1月18日广西壮族自治区第十二届人民代表</w:t>
      </w:r>
      <w:bookmarkStart w:id="1" w:name="_GoBack"/>
      <w:bookmarkEnd w:id="1"/>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大会第六次会议通过）</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目    录</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第二章  保护区划定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第三章  保护措施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第四章  监督管理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第五章  法律责任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960" w:firstLineChars="300"/>
        <w:textAlignment w:val="auto"/>
        <w:outlineLvl w:val="9"/>
        <w:rPr>
          <w:rFonts w:ascii="Times New Roman" w:hAnsi="Times New Roman" w:eastAsia="楷体_GB2312" w:cs="Times New Roman"/>
          <w:sz w:val="32"/>
          <w:szCs w:val="32"/>
        </w:rPr>
      </w:pPr>
      <w:r>
        <w:rPr>
          <w:rFonts w:ascii="Times New Roman" w:hAnsi="Times New Roman" w:eastAsia="楷体_GB2312" w:cs="Times New Roman"/>
          <w:sz w:val="32"/>
          <w:szCs w:val="32"/>
        </w:rPr>
        <w:t>第六章  附则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黑体" w:cs="Times New Roman"/>
          <w:sz w:val="32"/>
          <w:szCs w:val="32"/>
        </w:rPr>
      </w:pPr>
      <w:r>
        <w:rPr>
          <w:rFonts w:ascii="Times New Roman" w:hAnsi="Times New Roman" w:eastAsia="黑体" w:cs="Times New Roman"/>
          <w:sz w:val="32"/>
          <w:szCs w:val="32"/>
        </w:rPr>
        <w:t>第一章  总则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r>
        <w:rPr>
          <w:rFonts w:ascii="Times New Roman" w:hAnsi="Times New Roman" w:eastAsia="黑体" w:cs="Times New Roman"/>
          <w:sz w:val="32"/>
          <w:szCs w:val="32"/>
        </w:rPr>
        <w:t>第一条</w:t>
      </w:r>
      <w:r>
        <w:rPr>
          <w:rFonts w:ascii="Times New Roman" w:hAnsi="Times New Roman" w:eastAsia="仿宋_GB2312" w:cs="Times New Roman"/>
          <w:sz w:val="32"/>
          <w:szCs w:val="32"/>
        </w:rPr>
        <w:t xml:space="preserve">  为了加强饮用水水源保护，保障饮水安全，维护人民群众生命安全和身体健康，推进生态文明建设，促进经济社会持续、健康、协调发展，根据《中华人民共和国水法》《中华人民共和国水污染防治法》等法律、行政法规，结合本自治区实际，制定本条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第二条</w:t>
      </w:r>
      <w:r>
        <w:rPr>
          <w:rFonts w:ascii="Times New Roman" w:hAnsi="Times New Roman" w:eastAsia="仿宋_GB2312" w:cs="Times New Roman"/>
          <w:sz w:val="32"/>
          <w:szCs w:val="32"/>
        </w:rPr>
        <w:t xml:space="preserve">  在本自治区行政区域内保护和管理饮用水水源，防治饮用水水源污染和其他公害，适用本条例。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第三条</w:t>
      </w:r>
      <w:r>
        <w:rPr>
          <w:rFonts w:ascii="Times New Roman" w:hAnsi="Times New Roman" w:eastAsia="仿宋_GB2312" w:cs="Times New Roman"/>
          <w:sz w:val="32"/>
          <w:szCs w:val="32"/>
        </w:rPr>
        <w:t xml:space="preserve">  本条例所称饮用水水源，是指用于或者规划用于城乡集中式供水的江河、湖泊、水库、山塘、地下井（泉）水等地表水水源和地下水水源，包括备用饮用水水源。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第四条</w:t>
      </w:r>
      <w:r>
        <w:rPr>
          <w:rFonts w:ascii="Times New Roman" w:hAnsi="Times New Roman" w:eastAsia="仿宋_GB2312" w:cs="Times New Roman"/>
          <w:sz w:val="32"/>
          <w:szCs w:val="32"/>
        </w:rPr>
        <w:t xml:space="preserve">  饮用水水源保护应当遵循科学规划、保护优先、综合治理、公众参与、确保安全的原则。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第五条  </w:t>
      </w:r>
      <w:r>
        <w:rPr>
          <w:rFonts w:ascii="Times New Roman" w:hAnsi="Times New Roman" w:eastAsia="仿宋_GB2312" w:cs="Times New Roman"/>
          <w:sz w:val="32"/>
          <w:szCs w:val="32"/>
        </w:rPr>
        <w:t>县级以上人民政府应当根据本行政区域经济社会发展需要和水资源开发利用现状，将饮用水水源保护纳入本地区国民经济和社会发展规划、土地利用总体规划、城乡规划、水资源综合规划和生态环境保护规划，加大公共财政对饮用水水源保护的投入，合理布局和调整饮用水水源保护区所在地的产业结构，促进经济建设和饮用水水源保护协调发展。</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县级以上人民政府应当对本行政区域内的饮用水水源保护负责，建立健全饮用水水源保护部门的联动和重大事项会商机制，将饮用水水源保护工作纳入政府环境保护责任考核范围和领导干部政绩考核评价体系。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第六条</w:t>
      </w:r>
      <w:r>
        <w:rPr>
          <w:rFonts w:ascii="Times New Roman" w:hAnsi="Times New Roman" w:eastAsia="仿宋_GB2312" w:cs="Times New Roman"/>
          <w:sz w:val="32"/>
          <w:szCs w:val="32"/>
        </w:rPr>
        <w:t xml:space="preserve">  县级以上人民政府环境保护主管部门负责本行政区域内饮用水水源保护区划定和环境保护管理工作，对饮用水水源污染防治实施统一监督管理。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县级以上人民政府水行政主管部门负责本行政区域内的水功能区划定，以及饮用水水源工程建设等工作，对饮用水水资源实施统一监督管理。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县级以上人民政府发展改革、公安、财政、国土资源、住房和城乡建设、规划、交通运输、农业、林业、卫生、海洋、水产畜牧等有关部门和海事管理机构，应当按照各自职责做好饮用水水源保护的相关工作。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第七条</w:t>
      </w:r>
      <w:r>
        <w:rPr>
          <w:rFonts w:ascii="Times New Roman" w:hAnsi="Times New Roman" w:eastAsia="仿宋_GB2312" w:cs="Times New Roman"/>
          <w:sz w:val="32"/>
          <w:szCs w:val="32"/>
        </w:rPr>
        <w:t xml:space="preserve">  乡镇人民政府、街道办事处应当依法做好本行政区域内饮用水水源保护的相关工作。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村民委员会、居民委员会应当协助人民政府和有关部门依法做好饮用水水源保护工作，结合当地实际，在村规民约或者居民公约中规定村民、居民保护饮用水水源的义务，开展宣传教育，落实保护措施。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第八条</w:t>
      </w:r>
      <w:r>
        <w:rPr>
          <w:rFonts w:ascii="Times New Roman" w:hAnsi="Times New Roman" w:eastAsia="仿宋_GB2312" w:cs="Times New Roman"/>
          <w:sz w:val="32"/>
          <w:szCs w:val="32"/>
        </w:rPr>
        <w:t xml:space="preserve">  各级人民政府和相关部门应当加强饮用水水源保护和节约用水的宣传教育，开展多种形式的宣传教育活动，增强公众参与饮用水水源保护意识。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报刊、广播、电视、网络等媒体应当开展饮用水水源保护法律法规和保护知识的公益宣传，对饮用水水源保护法律法规实施情况进行舆论监督。</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鼓励、支持学校、基层群众性自治组织、其他社会组织开展饮用水水源保护知识的宣传。</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第九条  </w:t>
      </w:r>
      <w:r>
        <w:rPr>
          <w:rFonts w:ascii="Times New Roman" w:hAnsi="Times New Roman" w:eastAsia="仿宋_GB2312" w:cs="Times New Roman"/>
          <w:sz w:val="32"/>
          <w:szCs w:val="32"/>
        </w:rPr>
        <w:t>各级人民政府应当逐步建立和完善饮用水水源保护公众参与的平台，鼓励公民、法人和其他组织参与饮用水水源保护活动，鼓励和支持社会资本发展生态和循环经济，参与饮用水水源的保护和建设。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第十条  </w:t>
      </w:r>
      <w:r>
        <w:rPr>
          <w:rFonts w:ascii="Times New Roman" w:hAnsi="Times New Roman" w:eastAsia="仿宋_GB2312" w:cs="Times New Roman"/>
          <w:sz w:val="32"/>
          <w:szCs w:val="32"/>
        </w:rPr>
        <w:t>任何单位和个人都有义务保护饮用水水源，有权对污染和破坏饮用水水源的行为进行劝阻、投诉和举报。</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黑体" w:cs="Times New Roman"/>
          <w:sz w:val="32"/>
          <w:szCs w:val="32"/>
        </w:rPr>
      </w:pPr>
      <w:r>
        <w:rPr>
          <w:rFonts w:ascii="Times New Roman" w:hAnsi="Times New Roman" w:eastAsia="黑体" w:cs="Times New Roman"/>
          <w:sz w:val="32"/>
          <w:szCs w:val="32"/>
        </w:rPr>
        <w:t>第二章  保护区划定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xml:space="preserve">  县级以上人民政府应当开展城镇饮用水水源地普查和环境状况调查工作，按照水量充足、水质优良、风险可控的原则，组织有关部门确定现用、备用和规划用饮用水水源地。</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饮用水水源地的确定，应当符合国家有关水质等标准、规范的要求。已有的饮用水水源地不符合国家有关水质标准、规范要求，且不能保障供水安全的，应当重新确定饮用水水源地，或者与相邻饮用水水源地共享资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xml:space="preserve">  县级以上人民政府水行政主管部门应当会同发展改革、国土资源、环境保护、住房和城乡建设、林业、卫生等部门，在普查基础上对城镇饮用水水源地进行科学论证，提出意见，经本级人民政府同意后报自治区水行政主管部门确定；跨行政区域的，由相关人民政府协商后提出意见，报自治区水行政主管部门确定；协商不成的，由自治区水行政主管部门会同同级发展改革、国土资源、环境保护、住房和城乡建设、林业、卫生等部门提出意见，报自治区人民政府批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xml:space="preserve">  农村集中式供水的饮用水水源地，由所在地乡镇人民政府提出意见，报县级人民政府水行政主管部门确定。跨行政区域的农村集中式供水的饮用水水源地，由相关人民政府协商后提出意见，报共同的上一级人民政府水行政主管部门确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xml:space="preserve">  经批准确定的城镇饮用水水源地和备用饮用水水源地，由自治区人民政府水行政主管部门编制饮用水水源地名录并向社会公布；农村集中式供水的饮用水水源地，由县级人民政府水行政主管部门编制农村饮用水水源地名录并向社会公布；跨行政区域的农村集中式供水的饮用水水源地，由共同的上一级人民政府水行政主管部门编制农村饮用水水源地名录并向社会公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xml:space="preserve">  自治区实行饮用水水源保护区制度。饮用水水源保护区是指为了防治饮用水水源地污染、保证水源地环境质量而予以特殊保护的一定面积的水域和陆域。</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饮用水水源保护区按照水源类型划分为地表水饮用水水源保护区和地下水饮用水水源保护区；按照防护要求，将饮用水水源保护区划分为一级保护区和二级保护区；必要时，可以在饮用水水源保护区外围划定一定的区域作为准保护区。　　</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xml:space="preserve">  饮用水水源一级保护区原则上实行封闭式管理，划定保护区的人民政府应当在处理好通航、防洪等问题的前提下，在一级保护区外围设立防护设施。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二级保护区以及准保护区的管理方式，由划定保护区的人民政府依法确定。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xml:space="preserve">  饮用水水源保护区的范围应当根据确定的饮用水水源地的地理位置、地质特征、水量需求、污染状况等特点和确保饮用水安全的实际需要，按照国家和自治区饮用水水源保护区划分的技术规范要求划定。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设区的市、县（市、区）和有条件的乡镇应当建设备用饮用水水源地，以保障应急状态下的饮用水供应；不具备条件的乡镇应当与相邻地区签订协议，采取有效措施保障居民的应急供水。</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xml:space="preserve">  城市、县人民政府所在地镇的饮用水水源保护区，由设区的市、县级人民政府提出划定方案，报自治区人民政府批准后公布。其他饮用水水源保护区，由所在地县级人民政府提出划定方案，报设区的市人民政府批准后公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同一设区的市跨县级行政区域的饮用水水源保护区，由有关县级人民政府协商后提出划定方案，按照审批权限报自治区或者设区的市人民政府批准后公布；协商不成的，由设区的市人民政府环境保护主管部门会同国土资源、住房和城乡建设、水行政、林业、卫生等部门提出划定方案，按照审批权限报自治区或者本级人民政府批准后公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跨设区的市的饮用水水源保护区，由有关设区的市、县级人民政府协商后提出划定方案，报自治区人民政府批准后公布；协商不成的，由自治区人民政府环境保护主管部门会同国土资源、住房和城乡建设、水行政、林业、卫生等部门提出划定方案，报自治区人民政府批准后公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设区的市、县级人民政府提出饮用水水源保护区划定方案时，应当进行论证，并公开征求所在地相关单位和村民、居民的意见。</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xml:space="preserve">  设区的市、县级人民政府根据饮用水水源开采年限、水质状况以及供水变化等具体情况，确需对饮用水水源保护区进行调整的，应当按照饮用水水源地确定和保护区划定的程序进行，并报有批准权的人民政府批准后公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xml:space="preserve">  县级以上人民政府应当在批准的饮用水水源保护区边界设立明确的地理界标和宣传牌，并在显著位置设立警示标志。</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任何单位和个人不得损毁、涂改或者擅自移动饮用水水源保护区地理界标、宣传牌、警示标志、防护设施。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xml:space="preserve">  农村一千人以下五百人以上集中式供水的饮用水水源，由县级人民政府确定保护范围，并设立警示标志；五百人以下集中式供水的饮用水水源，由乡镇人民政府征求所在地村民委员会或者村民小组意见后确定保护范围，并督促和指导将饮用水水源保护纳入村规民约，设立警示标志。村民委员会或者村民小组应当组织村民保护水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黑体" w:cs="Times New Roman"/>
          <w:sz w:val="32"/>
          <w:szCs w:val="32"/>
        </w:rPr>
      </w:pPr>
      <w:r>
        <w:rPr>
          <w:rFonts w:ascii="Times New Roman" w:hAnsi="Times New Roman" w:eastAsia="黑体" w:cs="Times New Roman"/>
          <w:sz w:val="32"/>
          <w:szCs w:val="32"/>
        </w:rPr>
        <w:t>第三章  保护措施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xml:space="preserve">  饮用水水源保护区水质应当符合国家规定的水质标准。地表水饮用水水源一级保护区内的水质不低于国家《地表水环境质量标准》Ⅱ类标准；二级保护区、准保护区内的水质不低于国家《地表水环境质量标准》Ⅲ类标准。地下水饮用水水源保护区的水质不低于国家《地下水质量标准》Ⅲ类标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第二十三条  </w:t>
      </w:r>
      <w:r>
        <w:rPr>
          <w:rFonts w:ascii="Times New Roman" w:hAnsi="Times New Roman" w:eastAsia="仿宋_GB2312" w:cs="Times New Roman"/>
          <w:sz w:val="32"/>
          <w:szCs w:val="32"/>
        </w:rPr>
        <w:t>在地表水饮用水水源准保护区内，禁止下列行为：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（一）设置对水体污染严重的工业企业、集中式污水处理厂、规模化养殖场等的排污口；</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（二）新建、扩建造纸、制革、印染、染料、炼焦、炼砷、炼油、电镀、农药等对水体污染严重的建设项目，改建增加排污量的建设项目;</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（三）设置化工原料、矿物油类以及有毒有害矿产品及其废物的存放场所和转运站；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（四）向水体排放含重金属、油类、酸碱类等有毒有害废液或者含病原体的污水，在水体清洗装贮过油类或者有毒有害物品的运输工具、容器；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（五）使用含磷洗涤剂、高毒农药，滥用化肥；</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（六）严重影响水质的矿产资源勘查、开山采石、采矿、选冶和非疏浚性采砂；</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（七）向水体倾倒工业固体废物、生活垃圾以及其他废物；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（八）严重影响水质的船舶水上拆解、打捞或者其他水上水下施工作业;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（九）非更新、非抚育采伐和其他破坏饮用水水源涵养林、护岸林以及其他植被的行为；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（十）网箱养殖以及规模化畜禽养殖；</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（十一）法律法规规定的其他可能污染饮用水水源的行为。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第二十四条  </w:t>
      </w:r>
      <w:r>
        <w:rPr>
          <w:rFonts w:ascii="Times New Roman" w:hAnsi="Times New Roman" w:eastAsia="仿宋_GB2312" w:cs="Times New Roman"/>
          <w:sz w:val="32"/>
          <w:szCs w:val="32"/>
        </w:rPr>
        <w:t>在地表水饮用水水源二级保护区内，除第二十三条规定的禁止行为外，还禁止下列行为：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（一）设置排污口；</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（二）新建、改建、扩建屠宰场、高尔夫球场、制胶、制糖、化工以及其他排放污染物的建设项目或者设施；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（三）堆放、倾倒或者填埋化工原料、危险化学品、矿物油类以及有毒有害矿产品；</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（四）建设垃圾填埋场、垃圾堆肥场、垃圾焚烧炉等垃圾处理设施；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（五）使用国家和自治区限制使用的农药；</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（六）从船舶向水体排放残油、废油，倾倒垃圾或者违反规定排放含油污水、生活污水等污染物；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（七）修建墓地、丢弃或者掩埋畜禽尸体以及含病原体的其他废物；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（八）新种植轮伐期不足十年的用材林；</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（九）毁林开垦、全垦整地、炼山；</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（十）法律法规规定的其他可能污染饮用水水源的行为。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在地表水饮用水水源二级保护区已建成的排放污染物的建设项目和设施，由县级以上人民政府责令拆除或者关闭。</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xml:space="preserve">  在地表水饮用水水源一级保护区内，除第二十三条、第二十四条规定的禁止行为外，还禁止下列行为：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（一）新建、改建、扩建与供水设施和保护水源无关的建设项目或者设施；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（二）堆放或者填埋工业固体废物、生活垃圾、医疗废物和其他废物；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（三）使用化肥、农药以及其他可能污染水源水体的化学物品；</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（四）停泊油船和危险化学品船舶；</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（五）养殖畜禽、旅游、游泳、垂钓；</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（六）法律法规规定的其他可能污染饮用水水源的行为。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在地表水饮用水水源一级保护区内已建成的与供水设施和保护水源无关的建设项目和设施，由县级以上人民政府责令限期拆除或者关闭。</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第二十六条  </w:t>
      </w:r>
      <w:r>
        <w:rPr>
          <w:rFonts w:ascii="Times New Roman" w:hAnsi="Times New Roman" w:eastAsia="仿宋_GB2312" w:cs="Times New Roman"/>
          <w:sz w:val="32"/>
          <w:szCs w:val="32"/>
        </w:rPr>
        <w:t>在地下水饮用水水源准保护区内，禁止下列行为：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（一）利用渗井、渗坑、裂隙或者溶洞排放、倾倒含有毒污染物的废水、含病原体的污水或者其他废物；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（二）利用无防渗漏措施的沟渠、坑塘等输送或者存贮含有毒污染物的废水、含病原体的污水和其他废物；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（三）利用透水层孔隙、裂隙、溶洞和废弃矿坑储存油类、放射性物质、有毒有害化学物品、农药等；</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（四）设置化工原料、矿物油类以及有毒有害矿产品的贮存场所或者生活垃圾、工业固体废物以及危险废物的堆放场所和转运站；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（五）可能严重影响水质的矿产资源勘查、开采、选冶等活动。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xml:space="preserve">  在地下水饮用水水源二级保护区内，除第二十六条规定的禁止行为外，还禁止下列行为：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（一）新建、改建、扩建排放污染物的建设项目；</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（二）铺设输送污水、油类、有毒有害物品的管道；</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（三）修建墓地、丢弃以及掩埋动物尸体等含病原体的其他废物。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xml:space="preserve">  在地下水饮用水水源一级保护区内，除第二十六条、第二十七条规定的禁止行为外，还禁止下列行为：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（一）建设与取水设施无关的建筑物或者构筑物；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（二）从事农牧业活动。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xml:space="preserve">  在农村饮用水水源保护范围内，禁止下列行为：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（一）新建、扩建纸浆、印染、染料、制革、电镀、炼油、农药、化肥以及其他污染水体的企业；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（二）清洗装贮过有毒有害物品的运输工具、容器；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（三）使用高毒、高残留农药，滥用化肥；</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（四）向水体倾倒工业固体废物、生活垃圾，排放有毒有害污水以及其他可能污染水体的物质；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（五）设置畜禽养殖场、肥料堆积场；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（六）堆放生活垃圾、工业固体废物；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（七）修建墓地；</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（八）新种植轮伐期不足十年的用材林；</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（九）毁林开垦、全垦整地、炼山；</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（十）其他可能污染水源水体的行为。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xml:space="preserve">  在地下水饮用水水源保护区内，以机井抽取地下水的单位，应当做好水位、水量、水温、水质的监测，将监测资料定期报送所在地县级人民政府水行政和国土资源行政主管部门，并抄送环境保护主管部门。所在地县级人民政府水行政和国土资源行政主管部门应当对报送的监测资料的准确性进行核实。</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任何单位和个人发现地下水饮用水水源有异常情况的，应当及时向所在地乡镇人民政府或者县级以上人民政府水行政、环境保护和国土资源等主管部门报告。有关主管部门接到报告后，应当立即组织、协调相关部门调查处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xml:space="preserve">  在地下水饮用水水源保护区内，从事地质钻探、隧道挖掘、地下施工、地下勘探等活动，应当采取防护措施，防止破坏和污染地下水饮用水水源。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人工回灌补给地下水，不得低于国家规定的环境质量标准。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开采地下水作为饮用水水源的，应当遵守国家和自治区有关地下水资源保护和开采的规定，防止水体污染、水源枯竭和地面沉降、地面塌陷等地质灾害的发生。除发生特别严重干旱或者供水安全事故需要应急用水外，禁止开采深层承压地下水。位于公共供水管网覆盖范围内或者地下水资源匮乏地区的单位，禁止开采地下水作为自备水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xml:space="preserve">  县级以上人民政府应当加强饮用水水源保护区以及周边城乡环境综合整治，完善城乡生活污水、生活垃圾处理设施，积极推广沼气池建设，改造化粪池以及农村厕所，防止生活污水、生活垃圾污染饮用水水源。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农业、林业、渔业和环境保护等主管部门应当按照各自职责加强农业面源污染防治，指导饮用水水源保护区农业、林业和渔业生产者科学、合理施用化肥和农药，递减化肥和农药用量，使用符合国家农田灌溉标准的水质进行农田灌溉，推广生态水产养殖技术，科学确定水产养殖品种和密度等，保护和改善水生态环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应当在饮用水水源保护区以及周边划定畜禽规模养殖禁止和限制区域，加强畜禽养殖污染整治。畜禽养殖场应当保证其畜禽粪便、废水的综合利用或者无害化处理设施正常运转，保证污水达标排放，防止污染水环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xml:space="preserve">  县级以上人民政府应当采取生态修复、水质净化等措施，加强饮用水水源保护区以及相关流域、区域的生态建设，促进水体生态健康，改善水源地水生态环境。在河流型饮用水水源保护区，应当加强水源涵养林、水土保持林、护岸林的营造和管护，维持稳定水体的自净功能；在湖库型饮用水水源保护区，应当建设生态屏障涵养水源，减少面源污染、水土流失，采取生物净化、除藻曝气等措施净化水质；在地下饮用水水源保护区，应当加强面源治理和补给区水质净化。</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xml:space="preserve">  县级以上人民政府水行政主管部门调蓄径流和分配水量，应当依据流域规划和水中长期供求规划，以流域为单元制订水量分配方案和旱情紧急情况下的水量调度预案，报本级人民政府批准后执行。跨行政区域的水量分配方案和旱情紧急情况下的水量调度预案，由共同的上一级人民政府水行政主管部门商下一级人民政府制订，报本级人民政府批准后执行。</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在饮用水水源地取水的单位和个人，应当按照取水许可制度向水行政主管部门或者流域管理机构申请领取取水许可证，并缴纳水资源费，获得取水权。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xml:space="preserve">  县级以上人民政府应当根据本行政区域经济社会发展需要和水资源开发利用现状，合理规划饮用水水源，统筹安排饮用水水源工程建设。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第三十六条  </w:t>
      </w:r>
      <w:r>
        <w:rPr>
          <w:rFonts w:ascii="Times New Roman" w:hAnsi="Times New Roman" w:eastAsia="仿宋_GB2312" w:cs="Times New Roman"/>
          <w:sz w:val="32"/>
          <w:szCs w:val="32"/>
        </w:rPr>
        <w:t>县级以上人民政府应当加强饮用水水源安全保障建设，建立水量保证、水质合格、监控完备、制度健全的饮用水水源安全保障体系。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xml:space="preserve">  县级以上人民政府应当加强备用饮用水水源建设，划定备用饮用水水源保护区、完善备用饮用水水源供水系统和管网，加强水质监测和污染防治，确保备用饮用水水源安全，并实现应急供水。</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xml:space="preserve">  县级以上人民政府应当建立健全饮用水水源保护区域的生态补偿机制，多渠道筹集补偿资金，加大对饮用水水源保护区补偿力度，促进饮用水水源保护区和其他地区的协调发展。生态补偿具体办法由自治区发展改革部门会同财政、环境保护、水行政、林业等主管部门提出方案，报自治区人民政府批准后执行。</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跨区域的河流型饮用水水源保护区，河流上下游县级以上人民政府之间可以协商签订饮用水水源保护生态补偿协议，并报自治区人民政府以及发展改革、财政、环境保护、水行政、林业等有关部门备案。</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鼓励饮用水水源保护受益地区通过资金补偿、对口协作、产业转移、人才培训、共建园区等方式支持、帮助饮用水水源保护地区。</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xml:space="preserve">  县级以上人民政府公安机关划定、调整危险化学品陆路运输通行区域，应当避开饮用水水源保护区；无法避开的，公路交通管理部门应当在相关路段加强道路安全防护设施建设，公安交通管理部门应当在进入保护区域前的路段设置预警标识、限速标志和实时监控系统。危险品运输工具应当安装卫星定位装置，并根据运输物品的危险性采取相应的安全防护措施，配备必要的防护用品和应急救援器材。</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xml:space="preserve">  供水单位应当加强输水管网以及相关设施的建设和养护管理，建立供水设备维护责任制，采取防渗透、防腐蚀等措施，防止在饮用水传输过程中造成二次或者多次污染。</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黑体" w:cs="Times New Roman"/>
          <w:sz w:val="32"/>
          <w:szCs w:val="32"/>
        </w:rPr>
      </w:pPr>
      <w:r>
        <w:rPr>
          <w:rFonts w:ascii="Times New Roman" w:hAnsi="Times New Roman" w:eastAsia="黑体" w:cs="Times New Roman"/>
          <w:sz w:val="32"/>
          <w:szCs w:val="32"/>
        </w:rPr>
        <w:t>第四章  监督管理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xml:space="preserve">  县级以上人民政府应当将饮用水水源保护目标完成情况作为环境保护目标完成情况的重要内容，纳入本级人民政府负有饮用水水源保护职责的部门及其负责人和下级人民政府及其负责人的考核内容，作为对其考核评价的依据。</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xml:space="preserve">  县级以上人民政府应当建立健全饮用水水源保护联防联控机制，统筹协调本行政区域内饮用水水源保护工作。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跨行政区域饮用水水源保护，由上一级人民政府牵头，流域、区域人民政府参加，建立饮用水水源保护联防联控协作机制。</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xml:space="preserve">  县级以上人民政府环境保护、水行政、国土资源、卫生等主管部门应当加强饮用水水源的监（检）测能力建设，合理布局监测网点，建立监（检）测档案，按照相关规定定期对饮用水水源进行监（检）测；对重点饮用水水源，应当加强监测监控。</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应当建立饮用水水源水质监测预警预报系统和饮用水水源水量、水质信息管理数据库，并实现各相关部门、公共供水企业的信息数据共享。县级以上人民政府环境保护、水行政等有关主管部门应当依据职责，在县级以上人民政府网站和其他媒体上定期向社会公布水质、水量等信息。</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供水单位应当加强饮用水水源取水口的水质监测工作，建立水质监测体系，实时监测。</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xml:space="preserve">  县级以上人民政府及其环境保护、水行政等主管部门，应当对跨行政区域的饮用水水源建立保护协作机制，加强对饮用水水源跨界断面水质的管理，保证跨界断面水质达到规定水质标准。</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跨界饮用水水源断面水质未达到规定水质标准的，下游人民政府应当向上游同级人民政府通报，并向共同的上级人民政府报告。上级人民政府应当督促上游人民政府及时调查处理。上游人民政府应当上报处理结果，同时通报下游人民政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xml:space="preserve">  县级以上人民政府应当建立饮用水水源安全评估机制。县级以上人民政府环境保护主管部门应当会同水行政等有关主管部门按照相关规定对饮用水水源水质、水量和水源保护情况进行定期评估，并将评估结果报告本级人民政府和上级环境保护、水行政等有关主管部门，作为饮用水水源保护工作的监督考核和整改落实的依据。</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xml:space="preserve">  县级以上人民政府环境保护、水行政等有关主管部门以及饮用水水源管理单位应当按照各自职责建立巡查制度，对饮用水水源保护区以及相关设施进行巡查。乡镇人民政府、街道办事处应当组织和指导村民委员会、居民委员会开展饮用水水源保护巡查工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xml:space="preserve">  县级以上人民政府及其环境保护、水行政等有关主管部门，应当按照规定加强对饮用水水源保护情况和饮用水水源保护区污染物排放情况的监督检查。被检查的单位和个人应当如实反映情况、提供资料，不得以任何借口拒绝或者妨碍检查人员依法执行公务。</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环境保护、水行政等主管部门应当及时受理公民、法人和其他组织对破坏、污染饮用水水源行为的投诉和举报，依法查处违法行为；对不属于本部门职责范围的，应当及时移交相关部门依法查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xml:space="preserve">  县级以上人民政府应当定期或者不定期开展饮用水水源周边环境安全隐患排查，对饮用水水源保护区环境进行风险评估，建立饮用水水源保护区风险源名录，制定风险防控方案。</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县级以上人民政府应当组织编制饮用水安全突发事件应急预案，并根据实际情况定期修改完善；建立专业应急救援队伍、配备应急救援设施设备，定期进行应急演练。</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饮用水水源周边的企业事业单位应当编制本单位应对饮用水安全突发事件应急预案，报当地人民政府环境保护主管部门备案。</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饮用水水源周边风险区域应当建立应急物资储备库、事故应急池等应急防护工程，上游连接水体设有节制闸、拦污坝、导流渠、调水沟渠等防护工程设施。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xml:space="preserve">  企业事业单位发生事故或者其他突发事件，造成或者可能造成饮用水水源污染事故的，应当立即启动本单位的应急预案，采取应急措施，并立即向所在地县级以上人民政府或者环境保护主管部门报告。环境保护主管部门接到报告后，应当立即报告本级人民政府，并通报相关部门。</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发生突发事件造成或者可能造成饮用水水源污染事故的，所在地人民政府应当立即启动应急预案，采取控制或者切断污染源等有效措施，组织相关部门做好应急供水准备。饮用水水源污染事故跨行政区域的，应当及时将有关情况通报下游人民政府并报告上级人民政府。</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xml:space="preserve">  县级以上人民政府鼓励、引导饮用水水源周边企业，以及运输危险品的车辆、船舶投保环境污染责任保险。</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黑体" w:cs="Times New Roman"/>
          <w:sz w:val="32"/>
          <w:szCs w:val="32"/>
        </w:rPr>
      </w:pPr>
      <w:r>
        <w:rPr>
          <w:rFonts w:ascii="Times New Roman" w:hAnsi="Times New Roman" w:eastAsia="黑体" w:cs="Times New Roman"/>
          <w:sz w:val="32"/>
          <w:szCs w:val="32"/>
        </w:rPr>
        <w:t>第五章  法律责任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xml:space="preserve">  违反本条例规定，《中华人民共和国水污染防治法》《中华人民共和国水法》等法律以及相关行政法规已有法律责任规定的，从其规定。</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xml:space="preserve">  违反本条例规定，损毁、涂改或者擅自移动饮用水水源保护区地理界标、宣传牌、警示标志或者防护设施的，由县级以上人民政府环境保护主管部门责令停止违法行为，恢复原状或者采取其他补救措施；造成损失的，依法赔偿损失，处一千元以上一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xml:space="preserve">  违反本条例规定，在饮用水水源保护区以内设置化工原料、矿物油类以及有毒有害矿产品及其废物存放场所和转运站的，由县级以上人民政府环境保护主管部门责令停止违法行为，处十万元以上五十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xml:space="preserve">  违反本条例规定，有下列行为之一的，由县级以上人民政府农业、林业行政主管部门按照管理权限责令改正，有违法所得的没收违法所得，并按照下列规定罚款：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（一）在准保护区使用含磷洗涤剂、高毒农药或者滥用化肥的，对个人处一千元以上一万元以下罚款，对单位处一万元以上五万元以下罚款；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（二）在二级保护区使用国家和自治区限制使用的农药的，对个人处二千元以上二万元以下罚款，对单位处五万元以上十万元以下罚款；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（三）在一级保护区使用化肥、农药以及其他可能污染饮用水水源水体的化学物品的，对个人处三千元以上五万元以下罚款，对单位处十万元以上二十万元以下罚款；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（四）在农村饮用水水源保护范围使用高毒、高残留农药、滥用化肥的，对个人处一千元以上一万元以下罚款，对单位处一万元以上五万元以下罚款。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xml:space="preserve">  违反本条例规定，有下列行为之一的，由县级以上人民政府民政部门、动物卫生监督机构按照管理权限责令改正，按照下列规定罚款：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（一）在二级保护区或者一级保护区修建墓地的，处每个墓穴三千元罚款；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（二）在二级保护区或者一级保护区丢弃或者掩埋畜禽尸体以及其他含病原体的废物的，处二千元以上二万元以下罚款。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xml:space="preserve">  违反本条例规定，在二级保护区以内或者农村饮用水水源保护范围新种植轮伐期不足十年用材林的，由县级以上人民政府农业、林业等有关行政主管部门按照管理权限责令限期改正，逾期不改正的，可以指定有清理能力的单位代为清理或者更换树种，所需费用由违法行为人承担，按照种植面积对个人处每平方米五元以上十元以下罚款，对单位处每平方米十元以上五十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违反本条例规定，在二级保护区以内或者农村饮用水水源保护范围毁林开垦、全垦整地、炼山的，由县级以上人民政府林业、农业等有关行政主管部门按照管理权限责令停止违法行为，按照面积对个人处每平方米五元以上十元以下罚款，对单位处每平方米十元以上五十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xml:space="preserve">  违反本条例规定，在饮用水水源一级保护区停泊油船和危险化学品船舶的，由海事管理机构责令驶离并给予警告；仍不驶离或者多次停泊的，处二千元以上二万元以下罚款。</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xml:space="preserve">  县级以上人民政府及其有关职能部门，未履行饮用水水源保护职责，有下列情形之一的，对直接负责的主管人员和其他直接责任人员，由任免机关或者监察机关按照管理权限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（一）未建立饮用水水源保护联防联控机制的；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（二）饮用水水源水质未按照管理规定达标又未采取整治措施的；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（三）应当划定饮用水水源保护区而未划定或者未按照规定审批、核准建设项目的；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（四）违法实施行政许可、行政处罚或者采取行政强制措施的；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（五）未依法开展饮用水水源巡查、水质监测和信息公开以及综合评估的；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（六）未按照规定对饮用水水源进行安全隐患排查和对突发环境事件应急处置的；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（七）发现违法行为或者接到对违法行为的投诉和举报后不依法查处的；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（八）有其他滥用职权、玩忽职守、徇私舞弊行为的。</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ascii="Times New Roman" w:hAnsi="Times New Roman" w:eastAsia="黑体" w:cs="Times New Roman"/>
          <w:sz w:val="32"/>
          <w:szCs w:val="32"/>
        </w:rPr>
      </w:pPr>
      <w:r>
        <w:rPr>
          <w:rFonts w:ascii="Times New Roman" w:hAnsi="Times New Roman" w:eastAsia="黑体" w:cs="Times New Roman"/>
          <w:sz w:val="32"/>
          <w:szCs w:val="32"/>
        </w:rPr>
        <w:t>第六章  附则</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xml:space="preserve"> </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xml:space="preserve">  本条例实施前在饮用水水源保护区内已经种植轮伐期不足十年用材林的，由设区的市、县级人民政府林业行政主管部门会同环境保护、水行政等有关部门在进行社会稳定风险评估的基础上，提出树种更新改造方案，报本级人民政府批准后组织实施。</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xml:space="preserve">  本条例所称集中式供水，是指以公共供水系统向城乡居民提供生活饮用水的供水方式。</w:t>
      </w:r>
    </w:p>
    <w:p>
      <w:pPr>
        <w:pStyle w:val="2"/>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Times New Roman" w:hAnsi="Times New Roman" w:eastAsia="仿宋_GB2312" w:cs="Times New Roman"/>
          <w:sz w:val="32"/>
          <w:szCs w:val="32"/>
        </w:rPr>
      </w:pPr>
      <w:r>
        <w:rPr>
          <w:rFonts w:ascii="Times New Roman" w:hAnsi="Times New Roman" w:eastAsia="仿宋_GB2312" w:cs="Times New Roman"/>
          <w:sz w:val="32"/>
          <w:szCs w:val="32"/>
        </w:rPr>
        <w:t>　　</w:t>
      </w:r>
      <w:r>
        <w:rPr>
          <w:rFonts w:ascii="Times New Roman" w:hAnsi="Times New Roman" w:eastAsia="黑体" w:cs="Times New Roman"/>
          <w:sz w:val="32"/>
          <w:szCs w:val="32"/>
        </w:rPr>
        <w:t xml:space="preserve">第六十一条  </w:t>
      </w:r>
      <w:r>
        <w:rPr>
          <w:rFonts w:ascii="Times New Roman" w:hAnsi="Times New Roman" w:eastAsia="仿宋_GB2312" w:cs="Times New Roman"/>
          <w:sz w:val="32"/>
          <w:szCs w:val="32"/>
        </w:rPr>
        <w:t>本条例自2017年5月1日起施行。</w:t>
      </w:r>
    </w:p>
    <w:sectPr>
      <w:footerReference r:id="rId3" w:type="default"/>
      <w:footerReference r:id="rId4" w:type="even"/>
      <w:pgSz w:w="12191" w:h="16840"/>
      <w:pgMar w:top="2041" w:right="1531" w:bottom="2041" w:left="1531" w:header="851" w:footer="164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Fonts w:hint="eastAsia"/>
        <w:sz w:val="28"/>
        <w:szCs w:val="28"/>
      </w:rPr>
    </w:pPr>
    <w:bookmarkStart w:id="0" w:name="OLE_LINK1"/>
    <w:r>
      <w:rPr>
        <w:rStyle w:val="7"/>
        <w:rFonts w:hint="eastAsia"/>
        <w:sz w:val="28"/>
        <w:szCs w:val="28"/>
      </w:rPr>
      <w:t xml:space="preserve">— </w:t>
    </w:r>
    <w:r>
      <w:rPr>
        <w:rStyle w:val="7"/>
        <w:sz w:val="28"/>
        <w:szCs w:val="28"/>
      </w:rPr>
      <w:fldChar w:fldCharType="begin"/>
    </w:r>
    <w:r>
      <w:rPr>
        <w:rStyle w:val="7"/>
        <w:sz w:val="28"/>
        <w:szCs w:val="28"/>
      </w:rPr>
      <w:instrText xml:space="preserve">PAGE  </w:instrText>
    </w:r>
    <w:r>
      <w:rPr>
        <w:rStyle w:val="7"/>
        <w:sz w:val="28"/>
        <w:szCs w:val="28"/>
      </w:rPr>
      <w:fldChar w:fldCharType="separate"/>
    </w:r>
    <w:r>
      <w:rPr>
        <w:rStyle w:val="7"/>
        <w:sz w:val="28"/>
        <w:szCs w:val="28"/>
      </w:rPr>
      <w:t>6</w:t>
    </w:r>
    <w:r>
      <w:rPr>
        <w:rStyle w:val="7"/>
        <w:sz w:val="28"/>
        <w:szCs w:val="28"/>
      </w:rPr>
      <w:fldChar w:fldCharType="end"/>
    </w:r>
    <w:r>
      <w:rPr>
        <w:rStyle w:val="7"/>
        <w:rFonts w:hint="eastAsia"/>
        <w:sz w:val="28"/>
        <w:szCs w:val="28"/>
      </w:rPr>
      <w:t xml:space="preserve"> —</w:t>
    </w:r>
  </w:p>
  <w:bookmarkEnd w:id="0"/>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7"/>
      </w:rPr>
    </w:pPr>
    <w:r>
      <w:rPr>
        <w:rStyle w:val="7"/>
      </w:rPr>
      <w:fldChar w:fldCharType="begin"/>
    </w:r>
    <w:r>
      <w:rPr>
        <w:rStyle w:val="7"/>
      </w:rPr>
      <w:instrText xml:space="preserve">PAGE  </w:instrText>
    </w:r>
    <w:r>
      <w:rPr>
        <w:rStyle w:val="7"/>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CFF"/>
    <w:rsid w:val="00077CFF"/>
    <w:rsid w:val="000B5C6B"/>
    <w:rsid w:val="00101E12"/>
    <w:rsid w:val="004E3DE6"/>
    <w:rsid w:val="00501941"/>
    <w:rsid w:val="00541D61"/>
    <w:rsid w:val="0057548C"/>
    <w:rsid w:val="005A2EC3"/>
    <w:rsid w:val="00663EC2"/>
    <w:rsid w:val="006D1C24"/>
    <w:rsid w:val="007D154F"/>
    <w:rsid w:val="007D26D0"/>
    <w:rsid w:val="00853FE9"/>
    <w:rsid w:val="008E3227"/>
    <w:rsid w:val="00AF6FD2"/>
    <w:rsid w:val="00B65109"/>
    <w:rsid w:val="00B8311F"/>
    <w:rsid w:val="00D46BEC"/>
    <w:rsid w:val="00EA76C3"/>
    <w:rsid w:val="00F27252"/>
    <w:rsid w:val="00F6084C"/>
    <w:rsid w:val="4FC44CF9"/>
    <w:rsid w:val="57457AB7"/>
    <w:rsid w:val="6F3F7A0D"/>
    <w:rsid w:val="759B2C2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Plain Text"/>
    <w:basedOn w:val="1"/>
    <w:qFormat/>
    <w:uiPriority w:val="0"/>
    <w:rPr>
      <w:rFonts w:ascii="宋体" w:hAnsi="Courier New" w:cs="Courier New"/>
      <w:szCs w:val="21"/>
    </w:r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
    <w:basedOn w:val="1"/>
    <w:link w:val="5"/>
    <w:qFormat/>
    <w:uiPriority w:val="0"/>
    <w:pPr>
      <w:widowControl/>
      <w:spacing w:after="160" w:line="240" w:lineRule="exact"/>
      <w:jc w:val="left"/>
    </w:pPr>
    <w:rPr>
      <w:rFonts w:ascii="Verdana" w:hAnsi="Verdana"/>
      <w:kern w:val="0"/>
      <w:sz w:val="18"/>
      <w:szCs w:val="20"/>
      <w:lang w:eastAsia="en-US"/>
    </w:rPr>
  </w:style>
  <w:style w:type="character" w:styleId="7">
    <w:name w:val="page number"/>
    <w:basedOn w:val="5"/>
    <w:qFormat/>
    <w:uiPriority w:val="0"/>
  </w:style>
  <w:style w:type="character" w:customStyle="1" w:styleId="9">
    <w:name w:val="页脚 Char"/>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63</Pages>
  <Words>4263</Words>
  <Characters>24304</Characters>
  <Lines>202</Lines>
  <Paragraphs>57</Paragraphs>
  <ScaleCrop>false</ScaleCrop>
  <LinksUpToDate>false</LinksUpToDate>
  <CharactersWithSpaces>28510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2017-02-10T02:54:00Z</dcterms:created>
  <dc:creator>杨远文</dc:creator>
  <cp:lastModifiedBy>yhgx7</cp:lastModifiedBy>
  <dcterms:modified xsi:type="dcterms:W3CDTF">2017-02-14T08:48:27Z</dcterms:modified>
  <dc:title>广西壮族自治区人民代表大会常务委员会</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