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384" w:rsidRDefault="00380384" w:rsidP="000F58E6">
      <w:pPr>
        <w:spacing w:line="600" w:lineRule="exact"/>
        <w:jc w:val="center"/>
        <w:rPr>
          <w:rFonts w:ascii="宋体" w:eastAsia="宋体" w:hAnsi="宋体" w:cs="宋体" w:hint="eastAsia"/>
          <w:bCs/>
          <w:sz w:val="44"/>
          <w:szCs w:val="44"/>
        </w:rPr>
      </w:pPr>
    </w:p>
    <w:p w:rsidR="00A540B1" w:rsidRPr="000F58E6" w:rsidRDefault="008079BF" w:rsidP="000F58E6">
      <w:pPr>
        <w:spacing w:line="600" w:lineRule="exact"/>
        <w:jc w:val="center"/>
        <w:rPr>
          <w:rFonts w:ascii="宋体" w:eastAsia="宋体" w:hAnsi="宋体" w:cs="宋体"/>
          <w:bCs/>
          <w:sz w:val="44"/>
          <w:szCs w:val="44"/>
        </w:rPr>
      </w:pPr>
      <w:r w:rsidRPr="000F58E6">
        <w:rPr>
          <w:rFonts w:ascii="宋体" w:eastAsia="宋体" w:hAnsi="宋体" w:cs="宋体" w:hint="eastAsia"/>
          <w:bCs/>
          <w:sz w:val="44"/>
          <w:szCs w:val="44"/>
        </w:rPr>
        <w:t>柳州市莲花山保护条例</w:t>
      </w:r>
    </w:p>
    <w:p w:rsidR="000F58E6" w:rsidRDefault="000F58E6" w:rsidP="000F58E6">
      <w:pPr>
        <w:tabs>
          <w:tab w:val="left" w:pos="210"/>
        </w:tabs>
        <w:snapToGrid w:val="0"/>
        <w:spacing w:line="600" w:lineRule="exact"/>
        <w:ind w:leftChars="303" w:left="970" w:rightChars="465" w:right="1488" w:firstLine="2"/>
        <w:rPr>
          <w:rFonts w:ascii="楷体_GB2312" w:eastAsia="楷体_GB2312" w:hAnsi="Calibri" w:cs="Times New Roman"/>
          <w:bCs/>
          <w:spacing w:val="-12"/>
          <w:szCs w:val="44"/>
        </w:rPr>
      </w:pPr>
    </w:p>
    <w:p w:rsidR="00380384" w:rsidRDefault="008079BF"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hint="eastAsia"/>
          <w:bCs/>
          <w:spacing w:val="-12"/>
          <w:szCs w:val="44"/>
        </w:rPr>
      </w:pPr>
      <w:r w:rsidRPr="000F58E6">
        <w:rPr>
          <w:rFonts w:ascii="楷体_GB2312" w:eastAsia="楷体_GB2312" w:hAnsi="Calibri" w:cs="Times New Roman" w:hint="eastAsia"/>
          <w:bCs/>
          <w:spacing w:val="-12"/>
          <w:szCs w:val="44"/>
        </w:rPr>
        <w:t>（</w:t>
      </w:r>
      <w:r w:rsidRPr="000F58E6">
        <w:rPr>
          <w:rFonts w:ascii="楷体_GB2312" w:eastAsia="楷体_GB2312" w:hAnsi="Calibri" w:cs="Times New Roman"/>
          <w:bCs/>
          <w:spacing w:val="-12"/>
          <w:szCs w:val="44"/>
        </w:rPr>
        <w:t>2016</w:t>
      </w:r>
      <w:r w:rsidRPr="000F58E6">
        <w:rPr>
          <w:rFonts w:ascii="楷体_GB2312" w:eastAsia="楷体_GB2312" w:hAnsi="Calibri" w:cs="Times New Roman" w:hint="eastAsia"/>
          <w:bCs/>
          <w:spacing w:val="-12"/>
          <w:szCs w:val="44"/>
        </w:rPr>
        <w:t>年</w:t>
      </w:r>
      <w:r w:rsidRPr="000F58E6">
        <w:rPr>
          <w:rFonts w:ascii="楷体_GB2312" w:eastAsia="楷体_GB2312" w:hAnsi="Calibri" w:cs="Times New Roman"/>
          <w:bCs/>
          <w:spacing w:val="-12"/>
          <w:szCs w:val="44"/>
        </w:rPr>
        <w:t>9</w:t>
      </w:r>
      <w:r w:rsidRPr="000F58E6">
        <w:rPr>
          <w:rFonts w:ascii="楷体_GB2312" w:eastAsia="楷体_GB2312" w:hAnsi="Calibri" w:cs="Times New Roman" w:hint="eastAsia"/>
          <w:bCs/>
          <w:spacing w:val="-12"/>
          <w:szCs w:val="44"/>
        </w:rPr>
        <w:t>月</w:t>
      </w:r>
      <w:r w:rsidRPr="000F58E6">
        <w:rPr>
          <w:rFonts w:ascii="楷体_GB2312" w:eastAsia="楷体_GB2312" w:hAnsi="Calibri" w:cs="Times New Roman"/>
          <w:bCs/>
          <w:spacing w:val="-12"/>
          <w:szCs w:val="44"/>
        </w:rPr>
        <w:t>23</w:t>
      </w:r>
      <w:r w:rsidRPr="000F58E6">
        <w:rPr>
          <w:rFonts w:ascii="楷体_GB2312" w:eastAsia="楷体_GB2312" w:hAnsi="Calibri" w:cs="Times New Roman" w:hint="eastAsia"/>
          <w:bCs/>
          <w:spacing w:val="-12"/>
          <w:szCs w:val="44"/>
        </w:rPr>
        <w:t>日柳州市第十三届人大常委会第四十四</w:t>
      </w:r>
    </w:p>
    <w:p w:rsidR="000F58E6" w:rsidRDefault="008079BF"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bCs/>
          <w:spacing w:val="-12"/>
          <w:szCs w:val="44"/>
        </w:rPr>
      </w:pPr>
      <w:r w:rsidRPr="000F58E6">
        <w:rPr>
          <w:rFonts w:ascii="楷体_GB2312" w:eastAsia="楷体_GB2312" w:hAnsi="Calibri" w:cs="Times New Roman" w:hint="eastAsia"/>
          <w:bCs/>
          <w:spacing w:val="-12"/>
          <w:szCs w:val="44"/>
        </w:rPr>
        <w:t>次会议通过</w:t>
      </w:r>
    </w:p>
    <w:p w:rsidR="00380384" w:rsidRDefault="008079BF"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hint="eastAsia"/>
          <w:bCs/>
          <w:spacing w:val="-12"/>
          <w:szCs w:val="44"/>
        </w:rPr>
      </w:pPr>
      <w:r w:rsidRPr="000F58E6">
        <w:rPr>
          <w:rFonts w:ascii="楷体_GB2312" w:eastAsia="楷体_GB2312" w:hAnsi="Calibri" w:cs="Times New Roman" w:hint="eastAsia"/>
          <w:bCs/>
          <w:spacing w:val="-12"/>
          <w:szCs w:val="44"/>
        </w:rPr>
        <w:t>2016年11月30日广西壮族自治区第十二届人民代表大会</w:t>
      </w:r>
    </w:p>
    <w:p w:rsidR="000F58E6" w:rsidRDefault="008079BF"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bCs/>
          <w:spacing w:val="-12"/>
          <w:szCs w:val="44"/>
        </w:rPr>
      </w:pPr>
      <w:r w:rsidRPr="000F58E6">
        <w:rPr>
          <w:rFonts w:ascii="楷体_GB2312" w:eastAsia="楷体_GB2312" w:hAnsi="Calibri" w:cs="Times New Roman" w:hint="eastAsia"/>
          <w:bCs/>
          <w:spacing w:val="-12"/>
          <w:szCs w:val="44"/>
        </w:rPr>
        <w:t>常务委员会第二十六次会议批准</w:t>
      </w:r>
    </w:p>
    <w:p w:rsidR="00380384" w:rsidRDefault="00380384"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hint="eastAsia"/>
          <w:bCs/>
          <w:spacing w:val="-12"/>
          <w:szCs w:val="44"/>
        </w:rPr>
      </w:pPr>
      <w:r>
        <w:rPr>
          <w:rFonts w:ascii="楷体_GB2312" w:eastAsia="楷体_GB2312" w:hAnsi="Calibri" w:cs="Times New Roman" w:hint="eastAsia"/>
          <w:bCs/>
          <w:spacing w:val="-12"/>
          <w:szCs w:val="44"/>
        </w:rPr>
        <w:t>根据</w:t>
      </w:r>
      <w:r w:rsidR="008079BF" w:rsidRPr="000F58E6">
        <w:rPr>
          <w:rFonts w:ascii="楷体_GB2312" w:eastAsia="楷体_GB2312" w:hAnsi="Calibri" w:cs="Times New Roman" w:hint="eastAsia"/>
          <w:bCs/>
          <w:spacing w:val="-12"/>
          <w:szCs w:val="44"/>
        </w:rPr>
        <w:t>2019年10月30日柳州市</w:t>
      </w:r>
      <w:bookmarkStart w:id="0" w:name="_GoBack"/>
      <w:bookmarkEnd w:id="0"/>
      <w:r w:rsidR="008079BF" w:rsidRPr="000F58E6">
        <w:rPr>
          <w:rFonts w:ascii="楷体_GB2312" w:eastAsia="楷体_GB2312" w:hAnsi="Calibri" w:cs="Times New Roman" w:hint="eastAsia"/>
          <w:bCs/>
          <w:spacing w:val="-12"/>
          <w:szCs w:val="44"/>
        </w:rPr>
        <w:t>第十四届人民代表大会常</w:t>
      </w:r>
    </w:p>
    <w:p w:rsidR="00380384" w:rsidRDefault="008079BF" w:rsidP="00380384">
      <w:pPr>
        <w:tabs>
          <w:tab w:val="left" w:pos="210"/>
          <w:tab w:val="left" w:pos="7938"/>
        </w:tabs>
        <w:snapToGrid w:val="0"/>
        <w:spacing w:line="600" w:lineRule="exact"/>
        <w:ind w:leftChars="221" w:left="707" w:rightChars="220" w:right="704" w:firstLine="263"/>
        <w:rPr>
          <w:rFonts w:ascii="楷体_GB2312" w:eastAsia="楷体_GB2312" w:hint="eastAsia"/>
        </w:rPr>
      </w:pPr>
      <w:proofErr w:type="gramStart"/>
      <w:r w:rsidRPr="000F58E6">
        <w:rPr>
          <w:rFonts w:ascii="楷体_GB2312" w:eastAsia="楷体_GB2312" w:hAnsi="Calibri" w:cs="Times New Roman" w:hint="eastAsia"/>
          <w:bCs/>
          <w:spacing w:val="-12"/>
          <w:szCs w:val="44"/>
        </w:rPr>
        <w:t>务</w:t>
      </w:r>
      <w:proofErr w:type="gramEnd"/>
      <w:r w:rsidRPr="000F58E6">
        <w:rPr>
          <w:rFonts w:ascii="楷体_GB2312" w:eastAsia="楷体_GB2312" w:hAnsi="Calibri" w:cs="Times New Roman" w:hint="eastAsia"/>
          <w:bCs/>
          <w:spacing w:val="-12"/>
          <w:szCs w:val="44"/>
        </w:rPr>
        <w:t>委员会第二十三次会议</w:t>
      </w:r>
      <w:proofErr w:type="gramStart"/>
      <w:r w:rsidR="00380384" w:rsidRPr="00380384">
        <w:rPr>
          <w:rFonts w:ascii="楷体_GB2312" w:eastAsia="楷体_GB2312" w:hint="eastAsia"/>
        </w:rPr>
        <w:t>《</w:t>
      </w:r>
      <w:proofErr w:type="gramEnd"/>
      <w:r w:rsidR="00380384" w:rsidRPr="00380384">
        <w:rPr>
          <w:rFonts w:ascii="楷体_GB2312" w:eastAsia="楷体_GB2312" w:hint="eastAsia"/>
        </w:rPr>
        <w:t>柳州市人民代表大会常务委</w:t>
      </w:r>
    </w:p>
    <w:p w:rsidR="000F58E6" w:rsidRPr="00380384" w:rsidRDefault="00380384"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bCs/>
          <w:spacing w:val="-10"/>
          <w:szCs w:val="44"/>
        </w:rPr>
      </w:pPr>
      <w:r w:rsidRPr="00380384">
        <w:rPr>
          <w:rFonts w:ascii="楷体_GB2312" w:eastAsia="楷体_GB2312" w:hint="eastAsia"/>
          <w:spacing w:val="-10"/>
        </w:rPr>
        <w:t>员会关于修改〈柳州市莲花山保护条例〉的决定</w:t>
      </w:r>
      <w:proofErr w:type="gramStart"/>
      <w:r w:rsidRPr="00380384">
        <w:rPr>
          <w:rFonts w:ascii="楷体_GB2312" w:eastAsia="楷体_GB2312" w:hint="eastAsia"/>
          <w:spacing w:val="-10"/>
        </w:rPr>
        <w:t>》</w:t>
      </w:r>
      <w:proofErr w:type="gramEnd"/>
      <w:r w:rsidRPr="00380384">
        <w:rPr>
          <w:rFonts w:hint="eastAsia"/>
          <w:spacing w:val="-10"/>
        </w:rPr>
        <w:t>修改</w:t>
      </w:r>
    </w:p>
    <w:p w:rsidR="00380384" w:rsidRDefault="008079BF"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hint="eastAsia"/>
          <w:bCs/>
          <w:spacing w:val="-12"/>
          <w:szCs w:val="44"/>
        </w:rPr>
      </w:pPr>
      <w:r w:rsidRPr="000F58E6">
        <w:rPr>
          <w:rFonts w:ascii="楷体_GB2312" w:eastAsia="楷体_GB2312" w:hAnsi="Calibri" w:cs="Times New Roman"/>
          <w:bCs/>
          <w:spacing w:val="-12"/>
          <w:szCs w:val="44"/>
        </w:rPr>
        <w:t>2019</w:t>
      </w:r>
      <w:r w:rsidRPr="000F58E6">
        <w:rPr>
          <w:rFonts w:ascii="楷体_GB2312" w:eastAsia="楷体_GB2312" w:hAnsi="Calibri" w:cs="Times New Roman" w:hint="eastAsia"/>
          <w:bCs/>
          <w:spacing w:val="-12"/>
          <w:szCs w:val="44"/>
        </w:rPr>
        <w:t>年</w:t>
      </w:r>
      <w:r w:rsidRPr="000F58E6">
        <w:rPr>
          <w:rFonts w:ascii="楷体_GB2312" w:eastAsia="楷体_GB2312" w:hAnsi="Calibri" w:cs="Times New Roman"/>
          <w:bCs/>
          <w:spacing w:val="-12"/>
          <w:szCs w:val="44"/>
        </w:rPr>
        <w:t>11</w:t>
      </w:r>
      <w:r w:rsidRPr="000F58E6">
        <w:rPr>
          <w:rFonts w:ascii="楷体_GB2312" w:eastAsia="楷体_GB2312" w:hAnsi="Calibri" w:cs="Times New Roman" w:hint="eastAsia"/>
          <w:bCs/>
          <w:spacing w:val="-12"/>
          <w:szCs w:val="44"/>
        </w:rPr>
        <w:t>月</w:t>
      </w:r>
      <w:r w:rsidRPr="000F58E6">
        <w:rPr>
          <w:rFonts w:ascii="楷体_GB2312" w:eastAsia="楷体_GB2312" w:hAnsi="Calibri" w:cs="Times New Roman"/>
          <w:bCs/>
          <w:spacing w:val="-12"/>
          <w:szCs w:val="44"/>
        </w:rPr>
        <w:t>29</w:t>
      </w:r>
      <w:r w:rsidRPr="000F58E6">
        <w:rPr>
          <w:rFonts w:ascii="楷体_GB2312" w:eastAsia="楷体_GB2312" w:hAnsi="Calibri" w:cs="Times New Roman" w:hint="eastAsia"/>
          <w:bCs/>
          <w:spacing w:val="-12"/>
          <w:szCs w:val="44"/>
        </w:rPr>
        <w:t>日广西壮族自治区第十三届人民代表大会</w:t>
      </w:r>
    </w:p>
    <w:p w:rsidR="00A540B1" w:rsidRPr="000F58E6" w:rsidRDefault="008079BF" w:rsidP="00380384">
      <w:pPr>
        <w:tabs>
          <w:tab w:val="left" w:pos="210"/>
          <w:tab w:val="left" w:pos="7938"/>
        </w:tabs>
        <w:snapToGrid w:val="0"/>
        <w:spacing w:line="600" w:lineRule="exact"/>
        <w:ind w:leftChars="221" w:left="707" w:rightChars="220" w:right="704" w:firstLine="263"/>
        <w:rPr>
          <w:rFonts w:ascii="楷体_GB2312" w:eastAsia="楷体_GB2312" w:hAnsi="Calibri" w:cs="Times New Roman"/>
          <w:bCs/>
          <w:spacing w:val="-12"/>
          <w:szCs w:val="44"/>
        </w:rPr>
      </w:pPr>
      <w:r w:rsidRPr="000F58E6">
        <w:rPr>
          <w:rFonts w:ascii="楷体_GB2312" w:eastAsia="楷体_GB2312" w:hAnsi="Calibri" w:cs="Times New Roman" w:hint="eastAsia"/>
          <w:bCs/>
          <w:spacing w:val="-12"/>
          <w:szCs w:val="44"/>
        </w:rPr>
        <w:t>常务委员会第十二次会议批准）</w:t>
      </w:r>
    </w:p>
    <w:p w:rsidR="00A540B1" w:rsidRDefault="00A540B1" w:rsidP="000F58E6">
      <w:pPr>
        <w:pStyle w:val="a5"/>
        <w:snapToGrid w:val="0"/>
        <w:spacing w:line="600" w:lineRule="exact"/>
        <w:jc w:val="center"/>
        <w:rPr>
          <w:rFonts w:ascii="Times New Roman" w:eastAsia="黑体" w:hAnsi="Times New Roman" w:cs="黑体"/>
          <w:sz w:val="32"/>
          <w:szCs w:val="32"/>
        </w:rPr>
      </w:pPr>
    </w:p>
    <w:p w:rsidR="00A540B1" w:rsidRPr="000F58E6" w:rsidRDefault="00B555D0" w:rsidP="000F58E6">
      <w:pPr>
        <w:pStyle w:val="a5"/>
        <w:snapToGrid w:val="0"/>
        <w:spacing w:line="600" w:lineRule="exact"/>
        <w:jc w:val="center"/>
        <w:rPr>
          <w:rFonts w:ascii="楷体_GB2312" w:eastAsia="楷体_GB2312" w:hAnsi="Times New Roman" w:cstheme="minorBidi"/>
          <w:sz w:val="32"/>
          <w:szCs w:val="32"/>
        </w:rPr>
      </w:pPr>
      <w:r>
        <w:rPr>
          <w:rFonts w:ascii="楷体_GB2312" w:eastAsia="楷体_GB2312" w:hAnsi="Times New Roman" w:cs="黑体" w:hint="eastAsia"/>
          <w:sz w:val="32"/>
          <w:szCs w:val="32"/>
        </w:rPr>
        <w:t xml:space="preserve">目    </w:t>
      </w:r>
      <w:r w:rsidR="008079BF" w:rsidRPr="000F58E6">
        <w:rPr>
          <w:rFonts w:ascii="楷体_GB2312" w:eastAsia="楷体_GB2312" w:hAnsi="Times New Roman" w:cs="黑体" w:hint="eastAsia"/>
          <w:sz w:val="32"/>
          <w:szCs w:val="32"/>
        </w:rPr>
        <w:t>录</w:t>
      </w:r>
    </w:p>
    <w:p w:rsidR="00A540B1" w:rsidRPr="000F58E6" w:rsidRDefault="00A540B1" w:rsidP="000F58E6">
      <w:pPr>
        <w:pStyle w:val="a5"/>
        <w:snapToGrid w:val="0"/>
        <w:spacing w:line="600" w:lineRule="exact"/>
        <w:ind w:firstLineChars="200" w:firstLine="640"/>
        <w:rPr>
          <w:rFonts w:ascii="楷体_GB2312" w:eastAsia="楷体_GB2312" w:hAnsi="Times New Roman" w:cs="黑体"/>
          <w:sz w:val="32"/>
          <w:szCs w:val="32"/>
        </w:rPr>
      </w:pPr>
    </w:p>
    <w:p w:rsidR="00A540B1" w:rsidRPr="000F58E6" w:rsidRDefault="008079BF" w:rsidP="000F58E6">
      <w:pPr>
        <w:pStyle w:val="a5"/>
        <w:snapToGrid w:val="0"/>
        <w:spacing w:line="600" w:lineRule="exact"/>
        <w:ind w:firstLineChars="200" w:firstLine="640"/>
        <w:rPr>
          <w:rFonts w:ascii="楷体_GB2312" w:eastAsia="楷体_GB2312" w:hAnsi="Times New Roman" w:cstheme="minorBidi"/>
          <w:sz w:val="32"/>
          <w:szCs w:val="32"/>
        </w:rPr>
      </w:pPr>
      <w:r w:rsidRPr="000F58E6">
        <w:rPr>
          <w:rFonts w:ascii="楷体_GB2312" w:eastAsia="楷体_GB2312" w:hAnsi="Times New Roman" w:cs="黑体" w:hint="eastAsia"/>
          <w:sz w:val="32"/>
          <w:szCs w:val="32"/>
        </w:rPr>
        <w:t>第一章　总则</w:t>
      </w:r>
    </w:p>
    <w:p w:rsidR="00A540B1" w:rsidRPr="000F58E6" w:rsidRDefault="008079BF" w:rsidP="000F58E6">
      <w:pPr>
        <w:pStyle w:val="a5"/>
        <w:snapToGrid w:val="0"/>
        <w:spacing w:line="600" w:lineRule="exact"/>
        <w:ind w:firstLineChars="200" w:firstLine="640"/>
        <w:rPr>
          <w:rFonts w:ascii="楷体_GB2312" w:eastAsia="楷体_GB2312" w:hAnsi="Times New Roman" w:cstheme="minorBidi"/>
          <w:sz w:val="32"/>
          <w:szCs w:val="32"/>
        </w:rPr>
      </w:pPr>
      <w:r w:rsidRPr="000F58E6">
        <w:rPr>
          <w:rFonts w:ascii="楷体_GB2312" w:eastAsia="楷体_GB2312" w:hAnsi="Times New Roman" w:cs="黑体" w:hint="eastAsia"/>
          <w:sz w:val="32"/>
          <w:szCs w:val="32"/>
        </w:rPr>
        <w:t>第二章　规划编制与建设管控</w:t>
      </w:r>
    </w:p>
    <w:p w:rsidR="00A540B1" w:rsidRPr="000F58E6" w:rsidRDefault="008079BF" w:rsidP="000F58E6">
      <w:pPr>
        <w:pStyle w:val="a5"/>
        <w:snapToGrid w:val="0"/>
        <w:spacing w:line="600" w:lineRule="exact"/>
        <w:ind w:firstLineChars="200" w:firstLine="640"/>
        <w:rPr>
          <w:rFonts w:ascii="楷体_GB2312" w:eastAsia="楷体_GB2312" w:hAnsi="Times New Roman" w:cstheme="minorBidi"/>
          <w:sz w:val="32"/>
          <w:szCs w:val="32"/>
        </w:rPr>
      </w:pPr>
      <w:r w:rsidRPr="000F58E6">
        <w:rPr>
          <w:rFonts w:ascii="楷体_GB2312" w:eastAsia="楷体_GB2312" w:hAnsi="Times New Roman" w:cs="黑体" w:hint="eastAsia"/>
          <w:sz w:val="32"/>
          <w:szCs w:val="32"/>
        </w:rPr>
        <w:t>第三章　保护与管理</w:t>
      </w:r>
    </w:p>
    <w:p w:rsidR="00A540B1" w:rsidRPr="000F58E6" w:rsidRDefault="008079BF" w:rsidP="000F58E6">
      <w:pPr>
        <w:pStyle w:val="a5"/>
        <w:snapToGrid w:val="0"/>
        <w:spacing w:line="600" w:lineRule="exact"/>
        <w:ind w:firstLineChars="200" w:firstLine="640"/>
        <w:rPr>
          <w:rFonts w:ascii="楷体_GB2312" w:eastAsia="楷体_GB2312" w:hAnsi="Times New Roman" w:cstheme="minorBidi"/>
          <w:sz w:val="32"/>
          <w:szCs w:val="32"/>
        </w:rPr>
      </w:pPr>
      <w:r w:rsidRPr="000F58E6">
        <w:rPr>
          <w:rFonts w:ascii="楷体_GB2312" w:eastAsia="楷体_GB2312" w:hAnsi="Times New Roman" w:cs="黑体" w:hint="eastAsia"/>
          <w:sz w:val="32"/>
          <w:szCs w:val="32"/>
        </w:rPr>
        <w:t>第四章　保障与监督</w:t>
      </w:r>
    </w:p>
    <w:p w:rsidR="00A540B1" w:rsidRPr="000F58E6" w:rsidRDefault="008079BF" w:rsidP="000F58E6">
      <w:pPr>
        <w:pStyle w:val="a5"/>
        <w:snapToGrid w:val="0"/>
        <w:spacing w:line="600" w:lineRule="exact"/>
        <w:ind w:firstLineChars="200" w:firstLine="640"/>
        <w:rPr>
          <w:rFonts w:ascii="楷体_GB2312" w:eastAsia="楷体_GB2312" w:hAnsi="Times New Roman" w:cstheme="minorBidi"/>
          <w:sz w:val="32"/>
          <w:szCs w:val="32"/>
        </w:rPr>
      </w:pPr>
      <w:r w:rsidRPr="000F58E6">
        <w:rPr>
          <w:rFonts w:ascii="楷体_GB2312" w:eastAsia="楷体_GB2312" w:hAnsi="Times New Roman" w:cs="黑体" w:hint="eastAsia"/>
          <w:sz w:val="32"/>
          <w:szCs w:val="32"/>
        </w:rPr>
        <w:t>第五章　法律责任</w:t>
      </w:r>
    </w:p>
    <w:p w:rsidR="00A540B1" w:rsidRPr="000F58E6" w:rsidRDefault="008079BF" w:rsidP="000F58E6">
      <w:pPr>
        <w:pStyle w:val="a5"/>
        <w:snapToGrid w:val="0"/>
        <w:spacing w:line="600" w:lineRule="exact"/>
        <w:ind w:firstLineChars="200" w:firstLine="640"/>
        <w:rPr>
          <w:rFonts w:ascii="楷体_GB2312" w:eastAsia="楷体_GB2312" w:hAnsi="Times New Roman" w:cstheme="minorBidi"/>
          <w:sz w:val="32"/>
          <w:szCs w:val="32"/>
        </w:rPr>
      </w:pPr>
      <w:r w:rsidRPr="000F58E6">
        <w:rPr>
          <w:rFonts w:ascii="楷体_GB2312" w:eastAsia="楷体_GB2312" w:hAnsi="Times New Roman" w:cs="黑体" w:hint="eastAsia"/>
          <w:sz w:val="32"/>
          <w:szCs w:val="32"/>
        </w:rPr>
        <w:t>第六章　附则</w:t>
      </w:r>
    </w:p>
    <w:p w:rsidR="00A540B1" w:rsidRPr="000F58E6" w:rsidRDefault="00A540B1" w:rsidP="000F58E6">
      <w:pPr>
        <w:pStyle w:val="a5"/>
        <w:snapToGrid w:val="0"/>
        <w:spacing w:line="600" w:lineRule="exact"/>
        <w:ind w:firstLineChars="200" w:firstLine="640"/>
        <w:rPr>
          <w:rFonts w:ascii="楷体_GB2312" w:eastAsia="楷体_GB2312" w:hAnsi="Times New Roman" w:cstheme="minorBidi"/>
          <w:sz w:val="32"/>
          <w:szCs w:val="32"/>
        </w:rPr>
      </w:pPr>
    </w:p>
    <w:p w:rsidR="00A540B1" w:rsidRPr="000F58E6" w:rsidRDefault="008079BF" w:rsidP="000F58E6">
      <w:pPr>
        <w:pStyle w:val="a5"/>
        <w:snapToGrid w:val="0"/>
        <w:spacing w:line="600" w:lineRule="exact"/>
        <w:ind w:firstLineChars="200" w:firstLine="640"/>
        <w:rPr>
          <w:rFonts w:ascii="楷体_GB2312" w:eastAsia="楷体_GB2312" w:hAnsi="Times New Roman" w:cstheme="minorBidi"/>
          <w:b/>
          <w:bCs/>
          <w:sz w:val="32"/>
          <w:szCs w:val="32"/>
        </w:rPr>
      </w:pPr>
      <w:r w:rsidRPr="000F58E6">
        <w:rPr>
          <w:rFonts w:ascii="楷体_GB2312" w:eastAsia="楷体_GB2312" w:hAnsi="Times New Roman" w:cs="黑体" w:hint="eastAsia"/>
          <w:sz w:val="32"/>
          <w:szCs w:val="32"/>
        </w:rPr>
        <w:t>附</w:t>
      </w:r>
      <w:r w:rsidRPr="000F58E6">
        <w:rPr>
          <w:rFonts w:ascii="楷体_GB2312" w:eastAsia="楷体_GB2312" w:hAnsi="Times New Roman" w:cs="Times New Roman" w:hint="eastAsia"/>
          <w:sz w:val="32"/>
          <w:szCs w:val="32"/>
        </w:rPr>
        <w:t xml:space="preserve">  </w:t>
      </w:r>
      <w:r w:rsidRPr="000F58E6">
        <w:rPr>
          <w:rFonts w:ascii="楷体_GB2312" w:eastAsia="楷体_GB2312" w:hAnsi="Times New Roman" w:cs="黑体" w:hint="eastAsia"/>
          <w:sz w:val="32"/>
          <w:szCs w:val="32"/>
        </w:rPr>
        <w:t>件</w:t>
      </w:r>
      <w:r w:rsidRPr="000F58E6">
        <w:rPr>
          <w:rFonts w:ascii="楷体_GB2312" w:eastAsia="楷体_GB2312" w:hAnsi="Times New Roman" w:cs="Times New Roman" w:hint="eastAsia"/>
          <w:b/>
          <w:bCs/>
          <w:sz w:val="32"/>
          <w:szCs w:val="32"/>
        </w:rPr>
        <w:t xml:space="preserve">  </w:t>
      </w:r>
      <w:r w:rsidRPr="000F58E6">
        <w:rPr>
          <w:rFonts w:ascii="楷体_GB2312" w:eastAsia="楷体_GB2312" w:hAnsi="Times New Roman" w:cs="黑体" w:hint="eastAsia"/>
          <w:sz w:val="32"/>
          <w:szCs w:val="32"/>
        </w:rPr>
        <w:t>莲花山保护范围示意图</w:t>
      </w:r>
    </w:p>
    <w:p w:rsidR="00A540B1" w:rsidRDefault="00A540B1" w:rsidP="000F58E6">
      <w:pPr>
        <w:pStyle w:val="a5"/>
        <w:snapToGrid w:val="0"/>
        <w:spacing w:line="600" w:lineRule="exact"/>
        <w:ind w:firstLineChars="200" w:firstLine="643"/>
        <w:rPr>
          <w:rFonts w:ascii="Times New Roman" w:eastAsia="黑体" w:hAnsi="Times New Roman" w:cstheme="minorBidi"/>
          <w:b/>
          <w:bCs/>
          <w:sz w:val="32"/>
          <w:szCs w:val="32"/>
        </w:rPr>
      </w:pPr>
    </w:p>
    <w:p w:rsidR="00A540B1" w:rsidRDefault="008079BF" w:rsidP="00380384">
      <w:pPr>
        <w:pStyle w:val="a5"/>
        <w:snapToGrid w:val="0"/>
        <w:spacing w:beforeLines="50" w:afterLines="50" w:line="600" w:lineRule="exact"/>
        <w:jc w:val="center"/>
        <w:rPr>
          <w:rFonts w:ascii="Times New Roman" w:eastAsia="黑体" w:hAnsi="Times New Roman" w:cstheme="minorBidi"/>
          <w:sz w:val="32"/>
          <w:szCs w:val="32"/>
        </w:rPr>
      </w:pPr>
      <w:r>
        <w:rPr>
          <w:rFonts w:ascii="Times New Roman" w:eastAsia="黑体" w:hAnsi="Times New Roman" w:cs="黑体" w:hint="eastAsia"/>
          <w:sz w:val="32"/>
          <w:szCs w:val="32"/>
        </w:rPr>
        <w:t>第一章</w:t>
      </w:r>
      <w:r>
        <w:rPr>
          <w:rFonts w:ascii="Times New Roman" w:eastAsia="黑体" w:hAnsi="Times New Roman" w:cs="Times New Roman"/>
          <w:sz w:val="32"/>
          <w:szCs w:val="32"/>
        </w:rPr>
        <w:t xml:space="preserve">  </w:t>
      </w:r>
      <w:r>
        <w:rPr>
          <w:rFonts w:ascii="Times New Roman" w:eastAsia="黑体" w:hAnsi="Times New Roman" w:cs="黑体" w:hint="eastAsia"/>
          <w:sz w:val="32"/>
          <w:szCs w:val="32"/>
        </w:rPr>
        <w:t>总则</w:t>
      </w:r>
    </w:p>
    <w:p w:rsidR="00A540B1" w:rsidRDefault="008079BF" w:rsidP="000F58E6">
      <w:pPr>
        <w:pStyle w:val="a5"/>
        <w:snapToGrid w:val="0"/>
        <w:spacing w:line="600" w:lineRule="exact"/>
        <w:ind w:firstLineChars="200" w:firstLine="640"/>
        <w:rPr>
          <w:rFonts w:ascii="仿宋_GB2312" w:eastAsia="仿宋_GB2312" w:hAnsi="Times New Roman" w:cstheme="minorBidi"/>
          <w:sz w:val="32"/>
          <w:szCs w:val="32"/>
        </w:rPr>
      </w:pPr>
      <w:r>
        <w:rPr>
          <w:rFonts w:eastAsia="黑体" w:cs="黑体" w:hint="eastAsia"/>
          <w:sz w:val="32"/>
          <w:szCs w:val="32"/>
        </w:rPr>
        <w:t>第一条</w:t>
      </w:r>
      <w:r>
        <w:rPr>
          <w:rFonts w:ascii="Times New Roman" w:eastAsia="黑体" w:hAnsi="Times New Roman" w:cs="Times New Roman"/>
          <w:kern w:val="2"/>
          <w:sz w:val="32"/>
          <w:szCs w:val="32"/>
        </w:rPr>
        <w:t xml:space="preserve">  </w:t>
      </w:r>
      <w:r>
        <w:rPr>
          <w:rFonts w:eastAsia="仿宋_GB2312" w:cs="仿宋_GB2312" w:hint="eastAsia"/>
          <w:sz w:val="32"/>
          <w:szCs w:val="32"/>
        </w:rPr>
        <w:t>为了加强莲花山生态环境保护，规范莲花</w:t>
      </w:r>
      <w:proofErr w:type="gramStart"/>
      <w:r>
        <w:rPr>
          <w:rFonts w:eastAsia="仿宋_GB2312" w:cs="仿宋_GB2312" w:hint="eastAsia"/>
          <w:sz w:val="32"/>
          <w:szCs w:val="32"/>
        </w:rPr>
        <w:t>山资源</w:t>
      </w:r>
      <w:proofErr w:type="gramEnd"/>
      <w:r>
        <w:rPr>
          <w:rFonts w:eastAsia="仿宋_GB2312" w:cs="仿宋_GB2312" w:hint="eastAsia"/>
          <w:sz w:val="32"/>
          <w:szCs w:val="32"/>
        </w:rPr>
        <w:t>开发利用，推进生态文明建设，促进经济社会可持续发展，根据有关法律、法规，结合本市实际，制定本条例。</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第二条</w:t>
      </w:r>
      <w:r>
        <w:rPr>
          <w:rFonts w:eastAsia="黑体"/>
        </w:rPr>
        <w:t xml:space="preserve">  </w:t>
      </w:r>
      <w:r>
        <w:rPr>
          <w:rFonts w:hint="eastAsia"/>
        </w:rPr>
        <w:t>莲花山的规划、建设、保护和管理，适用本条例。</w:t>
      </w:r>
    </w:p>
    <w:p w:rsidR="00A540B1" w:rsidRDefault="008079BF" w:rsidP="000F58E6">
      <w:pPr>
        <w:pStyle w:val="a5"/>
        <w:snapToGrid w:val="0"/>
        <w:spacing w:line="600" w:lineRule="exact"/>
        <w:ind w:firstLineChars="200" w:firstLine="640"/>
        <w:rPr>
          <w:rFonts w:eastAsia="仿宋_GB2312" w:cs="仿宋_GB2312"/>
          <w:sz w:val="32"/>
          <w:szCs w:val="32"/>
        </w:rPr>
      </w:pPr>
      <w:r>
        <w:rPr>
          <w:rFonts w:ascii="仿宋_GB2312" w:eastAsia="黑体" w:hAnsi="Times New Roman" w:cs="黑体" w:hint="eastAsia"/>
          <w:kern w:val="2"/>
          <w:sz w:val="32"/>
          <w:szCs w:val="32"/>
        </w:rPr>
        <w:t>第三条</w:t>
      </w:r>
      <w:r>
        <w:rPr>
          <w:rFonts w:ascii="仿宋_GB2312" w:eastAsia="黑体" w:hAnsi="Times New Roman" w:cs="黑体" w:hint="eastAsia"/>
          <w:kern w:val="2"/>
          <w:sz w:val="32"/>
          <w:szCs w:val="32"/>
        </w:rPr>
        <w:t xml:space="preserve">  </w:t>
      </w:r>
      <w:r>
        <w:rPr>
          <w:rFonts w:eastAsia="仿宋_GB2312" w:cs="仿宋_GB2312" w:hint="eastAsia"/>
          <w:sz w:val="32"/>
          <w:szCs w:val="32"/>
        </w:rPr>
        <w:t>莲花山保护范围包括：莲花山片区和古亭山片区，规划总面积合计约</w:t>
      </w:r>
      <w:r>
        <w:rPr>
          <w:rFonts w:eastAsia="仿宋_GB2312" w:cs="仿宋_GB2312" w:hint="eastAsia"/>
          <w:sz w:val="32"/>
          <w:szCs w:val="32"/>
        </w:rPr>
        <w:t>52.9</w:t>
      </w:r>
      <w:r>
        <w:rPr>
          <w:rFonts w:eastAsia="仿宋_GB2312" w:cs="仿宋_GB2312" w:hint="eastAsia"/>
          <w:sz w:val="32"/>
          <w:szCs w:val="32"/>
        </w:rPr>
        <w:t>平方公里。莲花山片区：东、东北、北向以</w:t>
      </w:r>
      <w:proofErr w:type="gramStart"/>
      <w:r>
        <w:rPr>
          <w:rFonts w:eastAsia="仿宋_GB2312" w:cs="仿宋_GB2312" w:hint="eastAsia"/>
          <w:sz w:val="32"/>
          <w:szCs w:val="32"/>
        </w:rPr>
        <w:t>柳江河</w:t>
      </w:r>
      <w:proofErr w:type="gramEnd"/>
      <w:r>
        <w:rPr>
          <w:rFonts w:eastAsia="仿宋_GB2312" w:cs="仿宋_GB2312" w:hint="eastAsia"/>
          <w:sz w:val="32"/>
          <w:szCs w:val="32"/>
        </w:rPr>
        <w:t>右岸为界，西至河东路北片区和马鹿山东北片区的规划建设用地外缘，南至楼梯山片区和</w:t>
      </w:r>
      <w:proofErr w:type="gramStart"/>
      <w:r>
        <w:rPr>
          <w:rFonts w:eastAsia="仿宋_GB2312" w:cs="仿宋_GB2312" w:hint="eastAsia"/>
          <w:sz w:val="32"/>
          <w:szCs w:val="32"/>
        </w:rPr>
        <w:t>独凳山</w:t>
      </w:r>
      <w:proofErr w:type="gramEnd"/>
      <w:r>
        <w:rPr>
          <w:rFonts w:eastAsia="仿宋_GB2312" w:cs="仿宋_GB2312" w:hint="eastAsia"/>
          <w:sz w:val="32"/>
          <w:szCs w:val="32"/>
        </w:rPr>
        <w:t>片区的规划建设用地外缘，规划总面积约</w:t>
      </w:r>
      <w:r>
        <w:rPr>
          <w:rFonts w:eastAsia="仿宋_GB2312" w:cs="仿宋_GB2312" w:hint="eastAsia"/>
          <w:sz w:val="32"/>
          <w:szCs w:val="32"/>
        </w:rPr>
        <w:t>40.9</w:t>
      </w:r>
      <w:r>
        <w:rPr>
          <w:rFonts w:eastAsia="仿宋_GB2312" w:cs="仿宋_GB2312" w:hint="eastAsia"/>
          <w:sz w:val="32"/>
          <w:szCs w:val="32"/>
        </w:rPr>
        <w:t>平方公里。古亭山片区：东侧以城市快速路东外环南段（原桂柳高速公路）为界，北至曙光大道，南至狮王路，西至柳江边、古亭大道和阳和片区的规划建设用地外缘，东南、西南及</w:t>
      </w:r>
      <w:proofErr w:type="gramStart"/>
      <w:r>
        <w:rPr>
          <w:rFonts w:eastAsia="仿宋_GB2312" w:cs="仿宋_GB2312" w:hint="eastAsia"/>
          <w:sz w:val="32"/>
          <w:szCs w:val="32"/>
        </w:rPr>
        <w:t>东北侧至各村屯</w:t>
      </w:r>
      <w:proofErr w:type="gramEnd"/>
      <w:r>
        <w:rPr>
          <w:rFonts w:eastAsia="仿宋_GB2312" w:cs="仿宋_GB2312" w:hint="eastAsia"/>
          <w:sz w:val="32"/>
          <w:szCs w:val="32"/>
        </w:rPr>
        <w:t>农村宅基地外缘，规划总面积约</w:t>
      </w:r>
      <w:r>
        <w:rPr>
          <w:rFonts w:eastAsia="仿宋_GB2312" w:cs="仿宋_GB2312" w:hint="eastAsia"/>
          <w:sz w:val="32"/>
          <w:szCs w:val="32"/>
        </w:rPr>
        <w:t>12.0</w:t>
      </w:r>
      <w:r>
        <w:rPr>
          <w:rFonts w:eastAsia="仿宋_GB2312" w:cs="仿宋_GB2312" w:hint="eastAsia"/>
          <w:sz w:val="32"/>
          <w:szCs w:val="32"/>
        </w:rPr>
        <w:t>平方公里。具体保护范围见附件。</w:t>
      </w:r>
    </w:p>
    <w:p w:rsidR="00A540B1" w:rsidRDefault="008079BF" w:rsidP="000F58E6">
      <w:pPr>
        <w:pStyle w:val="a5"/>
        <w:snapToGrid w:val="0"/>
        <w:spacing w:line="600" w:lineRule="exact"/>
        <w:ind w:firstLineChars="200" w:firstLine="640"/>
        <w:rPr>
          <w:rFonts w:eastAsia="仿宋_GB2312" w:cs="仿宋_GB2312"/>
          <w:sz w:val="32"/>
          <w:szCs w:val="32"/>
        </w:rPr>
      </w:pPr>
      <w:r>
        <w:rPr>
          <w:rFonts w:eastAsia="仿宋_GB2312" w:cs="仿宋_GB2312" w:hint="eastAsia"/>
          <w:sz w:val="32"/>
          <w:szCs w:val="32"/>
        </w:rPr>
        <w:t>莲花山保护范围分为核心保护区、现状控制区、综合利用区，具体范围由市人民政府城乡规划主管部门划分，报市人民政府批准，并向社会公布。市人民政府批准前，应当提请市人民代表大会常务委员会审议，并按照审议意见进行研究处理。</w:t>
      </w:r>
    </w:p>
    <w:p w:rsidR="00A540B1" w:rsidRDefault="008079BF" w:rsidP="000F58E6">
      <w:pPr>
        <w:pStyle w:val="a5"/>
        <w:snapToGrid w:val="0"/>
        <w:spacing w:line="600" w:lineRule="exact"/>
        <w:ind w:firstLineChars="200" w:firstLine="640"/>
        <w:rPr>
          <w:rFonts w:eastAsia="仿宋_GB2312" w:cs="仿宋_GB2312"/>
          <w:sz w:val="32"/>
          <w:szCs w:val="32"/>
        </w:rPr>
      </w:pPr>
      <w:r>
        <w:rPr>
          <w:rFonts w:eastAsia="仿宋_GB2312" w:cs="仿宋_GB2312" w:hint="eastAsia"/>
          <w:sz w:val="32"/>
          <w:szCs w:val="32"/>
        </w:rPr>
        <w:t>市人民政府应当根据本条例确定的莲花山保护范围，设置永久性界桩或者其他边界标识。</w:t>
      </w:r>
    </w:p>
    <w:p w:rsidR="00A540B1" w:rsidRDefault="008079BF" w:rsidP="000F58E6">
      <w:pPr>
        <w:snapToGrid w:val="0"/>
        <w:spacing w:line="600" w:lineRule="exact"/>
        <w:ind w:firstLineChars="196" w:firstLine="627"/>
        <w:rPr>
          <w:rFonts w:ascii="Times New Roman" w:cstheme="minorBidi"/>
        </w:rPr>
      </w:pPr>
      <w:r>
        <w:rPr>
          <w:rFonts w:eastAsia="黑体" w:cs="黑体" w:hint="eastAsia"/>
        </w:rPr>
        <w:t>第四条</w:t>
      </w:r>
      <w:r>
        <w:rPr>
          <w:rFonts w:eastAsia="黑体"/>
        </w:rPr>
        <w:t xml:space="preserve">  </w:t>
      </w:r>
      <w:r>
        <w:rPr>
          <w:rFonts w:hint="eastAsia"/>
        </w:rPr>
        <w:t>莲花山保护坚持保护优先、科学规划、严格管理、</w:t>
      </w:r>
      <w:r>
        <w:rPr>
          <w:rFonts w:hint="eastAsia"/>
        </w:rPr>
        <w:lastRenderedPageBreak/>
        <w:t>公众参与的原则。</w:t>
      </w:r>
    </w:p>
    <w:p w:rsidR="00A540B1" w:rsidRDefault="008079BF" w:rsidP="000F58E6">
      <w:pPr>
        <w:snapToGrid w:val="0"/>
        <w:spacing w:line="600" w:lineRule="exact"/>
        <w:ind w:firstLineChars="200" w:firstLine="640"/>
        <w:jc w:val="left"/>
        <w:rPr>
          <w:rFonts w:ascii="Times New Roman" w:cstheme="minorBidi"/>
        </w:rPr>
      </w:pPr>
      <w:r>
        <w:rPr>
          <w:rFonts w:eastAsia="黑体" w:cs="黑体" w:hint="eastAsia"/>
        </w:rPr>
        <w:t>第五条</w:t>
      </w:r>
      <w:r>
        <w:rPr>
          <w:rFonts w:eastAsia="黑体"/>
        </w:rPr>
        <w:t xml:space="preserve">  </w:t>
      </w:r>
      <w:r>
        <w:rPr>
          <w:rFonts w:hint="eastAsia"/>
        </w:rPr>
        <w:t>市人民政府统一领导莲花山保护工作，建立协调机制，统筹处理莲花山保护工作中的重大问题。</w:t>
      </w:r>
    </w:p>
    <w:p w:rsidR="00A540B1" w:rsidRDefault="008079BF" w:rsidP="000F58E6">
      <w:pPr>
        <w:snapToGrid w:val="0"/>
        <w:spacing w:line="600" w:lineRule="exact"/>
        <w:ind w:firstLineChars="200" w:firstLine="640"/>
        <w:jc w:val="left"/>
        <w:rPr>
          <w:rFonts w:ascii="Times New Roman" w:cstheme="minorBidi"/>
        </w:rPr>
      </w:pPr>
      <w:r>
        <w:rPr>
          <w:rFonts w:hint="eastAsia"/>
        </w:rPr>
        <w:t>市人民政府确定的莲花山保护管理机构负责莲花山保护的日常监督管理工作。</w:t>
      </w:r>
    </w:p>
    <w:p w:rsidR="00A540B1" w:rsidRDefault="008079BF" w:rsidP="000F58E6">
      <w:pPr>
        <w:pStyle w:val="20"/>
        <w:spacing w:line="600" w:lineRule="exact"/>
        <w:rPr>
          <w:rFonts w:ascii="Times New Roman" w:cstheme="minorBidi"/>
        </w:rPr>
      </w:pPr>
      <w:r>
        <w:rPr>
          <w:rFonts w:hint="eastAsia"/>
        </w:rPr>
        <w:t>市人民政府发展改革、公安、民政、财政、国土资源、环境保护、住房城乡建设、规划、交通运输、水利、农业、林业、旅游、园林、畜牧、文物等有关主管部门及莲花山所在城区人民政府应当按照各自职责，共同做好莲花山保护的相关工作。</w:t>
      </w:r>
    </w:p>
    <w:p w:rsidR="00A540B1" w:rsidRDefault="008079BF" w:rsidP="000F58E6">
      <w:pPr>
        <w:snapToGrid w:val="0"/>
        <w:spacing w:line="600" w:lineRule="exact"/>
        <w:ind w:firstLineChars="200" w:firstLine="640"/>
        <w:rPr>
          <w:rFonts w:ascii="Times New Roman" w:cstheme="minorBidi"/>
        </w:rPr>
      </w:pPr>
      <w:r>
        <w:rPr>
          <w:rFonts w:hint="eastAsia"/>
        </w:rPr>
        <w:t>莲花山保护所需经费列入市本级预算。</w:t>
      </w:r>
    </w:p>
    <w:p w:rsidR="00A540B1" w:rsidRDefault="008079BF" w:rsidP="000F58E6">
      <w:pPr>
        <w:snapToGrid w:val="0"/>
        <w:spacing w:line="600" w:lineRule="exact"/>
        <w:ind w:firstLine="643"/>
        <w:rPr>
          <w:rFonts w:ascii="Times New Roman" w:cstheme="minorBidi"/>
        </w:rPr>
      </w:pPr>
      <w:r>
        <w:rPr>
          <w:rFonts w:eastAsia="黑体" w:cs="黑体" w:hint="eastAsia"/>
        </w:rPr>
        <w:t>第六条</w:t>
      </w:r>
      <w:r>
        <w:rPr>
          <w:rFonts w:eastAsia="黑体"/>
        </w:rPr>
        <w:t xml:space="preserve">  </w:t>
      </w:r>
      <w:r>
        <w:rPr>
          <w:rFonts w:hint="eastAsia"/>
        </w:rPr>
        <w:t>莲花山保护管理机构的主要职责：</w:t>
      </w:r>
    </w:p>
    <w:p w:rsidR="00A540B1" w:rsidRDefault="008079BF" w:rsidP="000F58E6">
      <w:pPr>
        <w:snapToGrid w:val="0"/>
        <w:spacing w:line="600" w:lineRule="exact"/>
        <w:ind w:left="643"/>
        <w:rPr>
          <w:rFonts w:ascii="Times New Roman" w:cstheme="minorBidi"/>
        </w:rPr>
      </w:pPr>
      <w:r>
        <w:rPr>
          <w:rFonts w:hint="eastAsia"/>
        </w:rPr>
        <w:t>（一）贯彻执行有关法律、法规和本条例；</w:t>
      </w:r>
    </w:p>
    <w:p w:rsidR="00A540B1" w:rsidRDefault="008079BF" w:rsidP="000F58E6">
      <w:pPr>
        <w:snapToGrid w:val="0"/>
        <w:spacing w:line="600" w:lineRule="exact"/>
        <w:ind w:firstLineChars="200" w:firstLine="640"/>
        <w:rPr>
          <w:rFonts w:ascii="Times New Roman" w:cstheme="minorBidi"/>
        </w:rPr>
      </w:pPr>
      <w:r>
        <w:rPr>
          <w:rFonts w:hint="eastAsia"/>
        </w:rPr>
        <w:t>（二）组织开展莲花山保护宣传教育活动；</w:t>
      </w:r>
    </w:p>
    <w:p w:rsidR="00A540B1" w:rsidRDefault="008079BF" w:rsidP="000F58E6">
      <w:pPr>
        <w:snapToGrid w:val="0"/>
        <w:spacing w:line="600" w:lineRule="exact"/>
        <w:ind w:firstLine="643"/>
        <w:rPr>
          <w:rFonts w:ascii="Times New Roman" w:cstheme="minorBidi"/>
        </w:rPr>
      </w:pPr>
      <w:r>
        <w:rPr>
          <w:rFonts w:hint="eastAsia"/>
        </w:rPr>
        <w:t>（三）组织调查莲花山的自然和人文资源，建立数据档案；</w:t>
      </w:r>
      <w:r>
        <w:t xml:space="preserve"> </w:t>
      </w:r>
    </w:p>
    <w:p w:rsidR="00A540B1" w:rsidRDefault="008079BF" w:rsidP="000F58E6">
      <w:pPr>
        <w:snapToGrid w:val="0"/>
        <w:spacing w:line="600" w:lineRule="exact"/>
        <w:ind w:firstLine="643"/>
        <w:rPr>
          <w:rFonts w:ascii="Times New Roman" w:cstheme="minorBidi"/>
        </w:rPr>
      </w:pPr>
      <w:r>
        <w:rPr>
          <w:rFonts w:hint="eastAsia"/>
        </w:rPr>
        <w:t>（四）配合有关主管部门做好莲花山保护的相关工作；</w:t>
      </w:r>
    </w:p>
    <w:p w:rsidR="00A540B1" w:rsidRDefault="008079BF" w:rsidP="000F58E6">
      <w:pPr>
        <w:snapToGrid w:val="0"/>
        <w:spacing w:line="600" w:lineRule="exact"/>
        <w:ind w:firstLine="643"/>
        <w:rPr>
          <w:rFonts w:ascii="Times New Roman" w:cstheme="minorBidi"/>
        </w:rPr>
      </w:pPr>
      <w:r>
        <w:rPr>
          <w:rFonts w:hint="eastAsia"/>
        </w:rPr>
        <w:t>（五）负责莲花山的日常巡查；</w:t>
      </w:r>
    </w:p>
    <w:p w:rsidR="00A540B1" w:rsidRDefault="008079BF" w:rsidP="000F58E6">
      <w:pPr>
        <w:snapToGrid w:val="0"/>
        <w:spacing w:line="600" w:lineRule="exact"/>
        <w:ind w:firstLine="643"/>
        <w:rPr>
          <w:rFonts w:ascii="Times New Roman" w:cstheme="minorBidi"/>
        </w:rPr>
      </w:pPr>
      <w:r>
        <w:rPr>
          <w:rFonts w:hint="eastAsia"/>
        </w:rPr>
        <w:t>（六）行使本条例赋予的行政处罚权；</w:t>
      </w:r>
    </w:p>
    <w:p w:rsidR="00A540B1" w:rsidRDefault="008079BF" w:rsidP="000F58E6">
      <w:pPr>
        <w:snapToGrid w:val="0"/>
        <w:spacing w:line="600" w:lineRule="exact"/>
        <w:ind w:firstLine="643"/>
        <w:rPr>
          <w:rFonts w:ascii="Times New Roman" w:cstheme="minorBidi"/>
        </w:rPr>
      </w:pPr>
      <w:r>
        <w:rPr>
          <w:rFonts w:hint="eastAsia"/>
        </w:rPr>
        <w:t>（七）履行市人民政府授予的其他职责。</w:t>
      </w:r>
    </w:p>
    <w:p w:rsidR="00A540B1" w:rsidRDefault="008079BF" w:rsidP="000F58E6">
      <w:pPr>
        <w:snapToGrid w:val="0"/>
        <w:spacing w:line="600" w:lineRule="exact"/>
        <w:ind w:firstLine="643"/>
        <w:rPr>
          <w:rFonts w:ascii="Times New Roman" w:cstheme="minorBidi"/>
        </w:rPr>
      </w:pPr>
      <w:r>
        <w:rPr>
          <w:rFonts w:eastAsia="黑体" w:cs="黑体" w:hint="eastAsia"/>
        </w:rPr>
        <w:t>第七条</w:t>
      </w:r>
      <w:r>
        <w:rPr>
          <w:rFonts w:eastAsia="黑体"/>
        </w:rPr>
        <w:t xml:space="preserve">  </w:t>
      </w:r>
      <w:r>
        <w:rPr>
          <w:rFonts w:hint="eastAsia"/>
        </w:rPr>
        <w:t>任何单位和个人有权举报、投诉破坏莲花山生态环境和公共设施的行为。</w:t>
      </w:r>
    </w:p>
    <w:p w:rsidR="00A540B1" w:rsidRDefault="008079BF" w:rsidP="000F58E6">
      <w:pPr>
        <w:snapToGrid w:val="0"/>
        <w:spacing w:line="600" w:lineRule="exact"/>
        <w:ind w:firstLine="643"/>
        <w:rPr>
          <w:rFonts w:ascii="Times New Roman" w:cstheme="minorBidi"/>
        </w:rPr>
      </w:pPr>
      <w:r>
        <w:rPr>
          <w:rFonts w:hint="eastAsia"/>
        </w:rPr>
        <w:t>莲花山保护管理机构应当建立监督举报制度，向社会公布举报信箱、投诉电话和其他联系方式，接到举报、投诉后应当及时处理。</w:t>
      </w:r>
    </w:p>
    <w:p w:rsidR="00A540B1" w:rsidRDefault="008079BF" w:rsidP="000F58E6">
      <w:pPr>
        <w:snapToGrid w:val="0"/>
        <w:spacing w:line="600" w:lineRule="exact"/>
        <w:ind w:firstLineChars="200" w:firstLine="640"/>
        <w:rPr>
          <w:rFonts w:hAnsi="宋体" w:cstheme="minorBidi"/>
          <w:kern w:val="0"/>
        </w:rPr>
      </w:pPr>
      <w:r>
        <w:rPr>
          <w:rFonts w:eastAsia="黑体" w:cs="黑体" w:hint="eastAsia"/>
        </w:rPr>
        <w:lastRenderedPageBreak/>
        <w:t>第八条</w:t>
      </w:r>
      <w:r>
        <w:rPr>
          <w:rFonts w:eastAsia="黑体"/>
        </w:rPr>
        <w:t xml:space="preserve">  </w:t>
      </w:r>
      <w:r>
        <w:rPr>
          <w:rFonts w:hAnsi="宋体" w:hint="eastAsia"/>
          <w:kern w:val="0"/>
        </w:rPr>
        <w:t>鼓励公民、法人和其他组织参与莲花山生态环境保护。</w:t>
      </w:r>
    </w:p>
    <w:p w:rsidR="00A540B1" w:rsidRDefault="008079BF" w:rsidP="000F58E6">
      <w:pPr>
        <w:snapToGrid w:val="0"/>
        <w:spacing w:line="600" w:lineRule="exact"/>
        <w:ind w:firstLineChars="200" w:firstLine="640"/>
        <w:rPr>
          <w:rFonts w:ascii="Times New Roman" w:cstheme="minorBidi"/>
        </w:rPr>
      </w:pPr>
      <w:r>
        <w:rPr>
          <w:rFonts w:hAnsi="宋体" w:hint="eastAsia"/>
          <w:kern w:val="0"/>
        </w:rPr>
        <w:t>对在莲花山生态环境保护工作中做出显著成绩的单位和个人依法给予奖励。</w:t>
      </w:r>
    </w:p>
    <w:p w:rsidR="00A540B1" w:rsidRDefault="008079BF" w:rsidP="00380384">
      <w:pPr>
        <w:pStyle w:val="a5"/>
        <w:snapToGrid w:val="0"/>
        <w:spacing w:beforeLines="50" w:afterLines="50" w:line="600" w:lineRule="exact"/>
        <w:jc w:val="center"/>
        <w:rPr>
          <w:rFonts w:ascii="Times New Roman" w:eastAsia="黑体" w:hAnsi="Times New Roman" w:cstheme="minorBidi"/>
          <w:sz w:val="32"/>
          <w:szCs w:val="32"/>
        </w:rPr>
      </w:pPr>
      <w:r>
        <w:rPr>
          <w:rFonts w:ascii="Times New Roman" w:eastAsia="黑体" w:hAnsi="Times New Roman" w:cs="黑体" w:hint="eastAsia"/>
          <w:sz w:val="32"/>
          <w:szCs w:val="32"/>
        </w:rPr>
        <w:t>第二章</w:t>
      </w:r>
      <w:r>
        <w:rPr>
          <w:rFonts w:ascii="Times New Roman" w:eastAsia="黑体" w:hAnsi="Times New Roman" w:cs="Times New Roman"/>
          <w:sz w:val="32"/>
          <w:szCs w:val="32"/>
        </w:rPr>
        <w:t xml:space="preserve">  </w:t>
      </w:r>
      <w:r>
        <w:rPr>
          <w:rFonts w:ascii="Times New Roman" w:eastAsia="黑体" w:hAnsi="Times New Roman" w:cs="黑体" w:hint="eastAsia"/>
          <w:sz w:val="32"/>
          <w:szCs w:val="32"/>
        </w:rPr>
        <w:t>规划编制与建设管控</w:t>
      </w:r>
    </w:p>
    <w:p w:rsidR="00A540B1" w:rsidRDefault="008079BF" w:rsidP="000F58E6">
      <w:pPr>
        <w:snapToGrid w:val="0"/>
        <w:spacing w:line="600" w:lineRule="exact"/>
        <w:ind w:firstLineChars="200" w:firstLine="640"/>
        <w:rPr>
          <w:rFonts w:ascii="宋体" w:eastAsia="宋体" w:cstheme="minorBidi"/>
          <w:kern w:val="0"/>
        </w:rPr>
      </w:pPr>
      <w:r>
        <w:rPr>
          <w:rFonts w:eastAsia="黑体" w:cs="黑体" w:hint="eastAsia"/>
        </w:rPr>
        <w:t>第九条</w:t>
      </w:r>
      <w:r>
        <w:rPr>
          <w:rFonts w:eastAsia="黑体"/>
        </w:rPr>
        <w:t xml:space="preserve">  </w:t>
      </w:r>
      <w:r>
        <w:rPr>
          <w:rFonts w:hint="eastAsia"/>
        </w:rPr>
        <w:t>莲</w:t>
      </w:r>
      <w:r>
        <w:rPr>
          <w:rFonts w:ascii="宋体" w:hAnsi="宋体" w:hint="eastAsia"/>
          <w:kern w:val="0"/>
        </w:rPr>
        <w:t>花山规划分为总体规划和控制性详细规划。</w:t>
      </w:r>
    </w:p>
    <w:p w:rsidR="00A540B1" w:rsidRDefault="008079BF" w:rsidP="000F58E6">
      <w:pPr>
        <w:snapToGrid w:val="0"/>
        <w:spacing w:line="600" w:lineRule="exact"/>
        <w:ind w:firstLineChars="200" w:firstLine="640"/>
        <w:rPr>
          <w:rFonts w:ascii="Times New Roman" w:cstheme="minorBidi"/>
        </w:rPr>
      </w:pPr>
      <w:r>
        <w:rPr>
          <w:rFonts w:hint="eastAsia"/>
        </w:rPr>
        <w:t>莲花山总体规划由市人民政府城乡规划主管部门会同莲花山所在城区人民政府及林业、园林等主管部门组织编制。</w:t>
      </w:r>
    </w:p>
    <w:p w:rsidR="00A540B1" w:rsidRDefault="008079BF" w:rsidP="000F58E6">
      <w:pPr>
        <w:snapToGrid w:val="0"/>
        <w:spacing w:line="600" w:lineRule="exact"/>
        <w:ind w:firstLineChars="200" w:firstLine="640"/>
        <w:rPr>
          <w:rFonts w:ascii="Times New Roman" w:cstheme="minorBidi"/>
        </w:rPr>
      </w:pPr>
      <w:r>
        <w:rPr>
          <w:rFonts w:hint="eastAsia"/>
        </w:rPr>
        <w:t>莲花山控制性详细规划由市人民政府城乡规划主管部门组织编制。</w:t>
      </w:r>
    </w:p>
    <w:p w:rsidR="00A540B1" w:rsidRDefault="008079BF" w:rsidP="000F58E6">
      <w:pPr>
        <w:snapToGrid w:val="0"/>
        <w:spacing w:line="600" w:lineRule="exact"/>
        <w:ind w:firstLineChars="200" w:firstLine="640"/>
        <w:rPr>
          <w:rFonts w:ascii="Times New Roman" w:cstheme="minorBidi"/>
          <w:spacing w:val="-2"/>
        </w:rPr>
      </w:pPr>
      <w:r>
        <w:rPr>
          <w:rFonts w:eastAsia="黑体" w:cs="黑体" w:hint="eastAsia"/>
        </w:rPr>
        <w:t>第十条</w:t>
      </w:r>
      <w:r>
        <w:rPr>
          <w:rFonts w:eastAsia="黑体"/>
        </w:rPr>
        <w:t xml:space="preserve">  </w:t>
      </w:r>
      <w:r>
        <w:rPr>
          <w:rFonts w:hint="eastAsia"/>
          <w:spacing w:val="-2"/>
        </w:rPr>
        <w:t>市人民政府在批准莲花山总体规划前，应当提请市人民代表大会常务委员会审议，并按照审议意见进行研究处理。</w:t>
      </w:r>
    </w:p>
    <w:p w:rsidR="00A540B1" w:rsidRDefault="008079BF" w:rsidP="000F58E6">
      <w:pPr>
        <w:snapToGrid w:val="0"/>
        <w:spacing w:line="600" w:lineRule="exact"/>
        <w:ind w:firstLineChars="200" w:firstLine="640"/>
        <w:rPr>
          <w:rFonts w:ascii="Times New Roman" w:cstheme="minorBidi"/>
        </w:rPr>
      </w:pPr>
      <w:r>
        <w:rPr>
          <w:rFonts w:hint="eastAsia"/>
        </w:rPr>
        <w:t>莲花山总体规划、控制性详细规划经市人民政府批准后，应当报市人民代表大会常务委员会备案，并向社会公布。</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第十一条</w:t>
      </w:r>
      <w:r>
        <w:rPr>
          <w:rFonts w:eastAsia="黑体"/>
        </w:rPr>
        <w:t xml:space="preserve">  </w:t>
      </w:r>
      <w:r>
        <w:rPr>
          <w:rFonts w:hint="eastAsia"/>
        </w:rPr>
        <w:t>莲花山总体规划应当与市国民经济与社会发展规划、城市总体规划、土地利用总体规划、环境保护规划、林地保护利用规划相衔接。编制涉及莲花山的其他专项规划，应当与莲花山总体规划相衔接。</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第十二条</w:t>
      </w:r>
      <w:r>
        <w:rPr>
          <w:rFonts w:eastAsia="黑体"/>
        </w:rPr>
        <w:t xml:space="preserve">  </w:t>
      </w:r>
      <w:r>
        <w:rPr>
          <w:rFonts w:hint="eastAsia"/>
        </w:rPr>
        <w:t>经批准的莲花山总体规划和控制性详细规划不得擅自修改。因公共利益需要，确需修改的，应当按照原编制和批准程序办理。</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第十三条</w:t>
      </w:r>
      <w:r>
        <w:rPr>
          <w:rFonts w:eastAsia="黑体"/>
        </w:rPr>
        <w:t xml:space="preserve">  </w:t>
      </w:r>
      <w:r>
        <w:rPr>
          <w:rFonts w:hint="eastAsia"/>
          <w:spacing w:val="-2"/>
        </w:rPr>
        <w:t>莲花山保护范围内的建设活动应当符合莲花山总</w:t>
      </w:r>
      <w:r>
        <w:rPr>
          <w:rFonts w:hint="eastAsia"/>
          <w:spacing w:val="-2"/>
        </w:rPr>
        <w:lastRenderedPageBreak/>
        <w:t>体规划和控制性详细规划，并与周边生态景观和环境相协调，不得破坏山水自然形态和格局，并控制建筑高度和体量。</w:t>
      </w:r>
    </w:p>
    <w:p w:rsidR="00A540B1" w:rsidRDefault="008079BF" w:rsidP="000F58E6">
      <w:pPr>
        <w:snapToGrid w:val="0"/>
        <w:spacing w:line="600" w:lineRule="exact"/>
        <w:ind w:firstLineChars="196" w:firstLine="619"/>
        <w:rPr>
          <w:rFonts w:ascii="Times New Roman" w:cstheme="minorBidi"/>
          <w:spacing w:val="-2"/>
        </w:rPr>
      </w:pPr>
      <w:r>
        <w:rPr>
          <w:rFonts w:hint="eastAsia"/>
          <w:spacing w:val="-2"/>
        </w:rPr>
        <w:t>核心保护区严格限制开发。确因生态环境保护和旅游基础设施配套需要进行建设的，应当符合控制性详细规划并报市人民政府批准。</w:t>
      </w:r>
    </w:p>
    <w:p w:rsidR="00A540B1" w:rsidRDefault="008079BF" w:rsidP="000F58E6">
      <w:pPr>
        <w:snapToGrid w:val="0"/>
        <w:spacing w:line="600" w:lineRule="exact"/>
        <w:ind w:firstLineChars="196" w:firstLine="588"/>
        <w:rPr>
          <w:rFonts w:ascii="Times New Roman" w:cstheme="minorBidi"/>
          <w:spacing w:val="-10"/>
        </w:rPr>
      </w:pPr>
      <w:r>
        <w:rPr>
          <w:rFonts w:hint="eastAsia"/>
          <w:spacing w:val="-10"/>
        </w:rPr>
        <w:t>现状控制区严格控制建设现状，不得增加建设用地和开发强度。</w:t>
      </w:r>
    </w:p>
    <w:p w:rsidR="00A540B1" w:rsidRDefault="008079BF" w:rsidP="000F58E6">
      <w:pPr>
        <w:snapToGrid w:val="0"/>
        <w:spacing w:line="600" w:lineRule="exact"/>
        <w:ind w:firstLineChars="200" w:firstLine="632"/>
        <w:rPr>
          <w:rFonts w:ascii="Times New Roman" w:cstheme="minorBidi"/>
          <w:spacing w:val="-2"/>
        </w:rPr>
      </w:pPr>
      <w:r>
        <w:rPr>
          <w:rFonts w:hint="eastAsia"/>
          <w:spacing w:val="-2"/>
        </w:rPr>
        <w:t>综合利用区实行适度建设。</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第十四条</w:t>
      </w:r>
      <w:r>
        <w:rPr>
          <w:rFonts w:eastAsia="黑体"/>
        </w:rPr>
        <w:t xml:space="preserve">  </w:t>
      </w:r>
      <w:r>
        <w:rPr>
          <w:rFonts w:hint="eastAsia"/>
        </w:rPr>
        <w:t>莲花山保护范围内的开发建设活动应当向有关主管部门提出申请，依法办理审批手续，有关主管部门</w:t>
      </w:r>
      <w:proofErr w:type="gramStart"/>
      <w:r>
        <w:rPr>
          <w:rFonts w:hint="eastAsia"/>
        </w:rPr>
        <w:t>作出</w:t>
      </w:r>
      <w:proofErr w:type="gramEnd"/>
      <w:r>
        <w:rPr>
          <w:rFonts w:hint="eastAsia"/>
        </w:rPr>
        <w:t>批准决定前，应当征求莲花山保护管理机构的意见。</w:t>
      </w:r>
    </w:p>
    <w:p w:rsidR="00A540B1" w:rsidRDefault="008079BF" w:rsidP="000F58E6">
      <w:pPr>
        <w:spacing w:line="600" w:lineRule="exact"/>
        <w:ind w:firstLineChars="200" w:firstLine="640"/>
        <w:rPr>
          <w:rFonts w:ascii="Times New Roman" w:cstheme="minorBidi"/>
        </w:rPr>
      </w:pPr>
      <w:r>
        <w:rPr>
          <w:rFonts w:eastAsia="黑体" w:cs="黑体" w:hint="eastAsia"/>
        </w:rPr>
        <w:t>第十五条</w:t>
      </w:r>
      <w:r>
        <w:rPr>
          <w:rFonts w:eastAsia="黑体"/>
        </w:rPr>
        <w:t xml:space="preserve">  </w:t>
      </w:r>
      <w:r>
        <w:rPr>
          <w:rFonts w:hint="eastAsia"/>
        </w:rPr>
        <w:t>经批准的开发建设项目，在施工过程中应当保护莲花山地质地貌、森林植被、河流水系、文物古迹等自然资源、人文景观的原有风貌。工程竣工后，应当及时清理施工场地，恢复植被和环境风貌。</w:t>
      </w:r>
    </w:p>
    <w:p w:rsidR="00A540B1" w:rsidRDefault="008079BF" w:rsidP="000F58E6">
      <w:pPr>
        <w:snapToGrid w:val="0"/>
        <w:spacing w:line="600" w:lineRule="exact"/>
        <w:ind w:firstLineChars="200" w:firstLine="632"/>
        <w:rPr>
          <w:rFonts w:ascii="Times New Roman" w:cstheme="minorBidi"/>
        </w:rPr>
      </w:pPr>
      <w:r>
        <w:rPr>
          <w:rFonts w:eastAsia="黑体" w:cs="黑体" w:hint="eastAsia"/>
          <w:spacing w:val="-2"/>
        </w:rPr>
        <w:t>第十六条</w:t>
      </w:r>
      <w:r>
        <w:rPr>
          <w:rFonts w:eastAsia="黑体"/>
          <w:spacing w:val="-2"/>
        </w:rPr>
        <w:t xml:space="preserve">  </w:t>
      </w:r>
      <w:r>
        <w:rPr>
          <w:rFonts w:hint="eastAsia"/>
        </w:rPr>
        <w:t>在文物保护单位的保护范围内不得进行其他建设工程或者爆破、钻探、挖掘等作业。因特殊情况需要在文物保护单位的保护范围内进行其他建设工程或者爆破、钻探、挖掘等作业的，应当依法办理审批手续，并由市文物行政部门通报莲花山保护管理机构。</w:t>
      </w:r>
    </w:p>
    <w:p w:rsidR="00A540B1" w:rsidRDefault="008079BF" w:rsidP="00380384">
      <w:pPr>
        <w:pStyle w:val="a5"/>
        <w:snapToGrid w:val="0"/>
        <w:spacing w:beforeLines="50" w:afterLines="50" w:line="600" w:lineRule="exact"/>
        <w:jc w:val="center"/>
        <w:rPr>
          <w:rFonts w:ascii="Times New Roman" w:eastAsia="黑体" w:hAnsi="Times New Roman" w:cstheme="minorBidi"/>
          <w:sz w:val="32"/>
          <w:szCs w:val="32"/>
        </w:rPr>
      </w:pPr>
      <w:r>
        <w:rPr>
          <w:rFonts w:ascii="Times New Roman" w:eastAsia="黑体" w:hAnsi="Times New Roman" w:cs="黑体" w:hint="eastAsia"/>
          <w:sz w:val="32"/>
          <w:szCs w:val="32"/>
        </w:rPr>
        <w:t>第三章</w:t>
      </w:r>
      <w:r>
        <w:rPr>
          <w:rFonts w:ascii="Times New Roman" w:eastAsia="黑体" w:hAnsi="Times New Roman" w:cs="Times New Roman"/>
          <w:sz w:val="32"/>
          <w:szCs w:val="32"/>
        </w:rPr>
        <w:t xml:space="preserve">  </w:t>
      </w:r>
      <w:r>
        <w:rPr>
          <w:rFonts w:ascii="Times New Roman" w:eastAsia="黑体" w:hAnsi="Times New Roman" w:cs="黑体" w:hint="eastAsia"/>
          <w:sz w:val="32"/>
          <w:szCs w:val="32"/>
        </w:rPr>
        <w:t>保护与管理</w:t>
      </w:r>
    </w:p>
    <w:p w:rsidR="00A540B1" w:rsidRDefault="008079BF" w:rsidP="000F58E6">
      <w:pPr>
        <w:snapToGrid w:val="0"/>
        <w:spacing w:line="600" w:lineRule="exact"/>
        <w:ind w:firstLineChars="196" w:firstLine="619"/>
        <w:rPr>
          <w:rFonts w:ascii="Times New Roman" w:cstheme="minorBidi"/>
          <w:spacing w:val="-2"/>
        </w:rPr>
      </w:pPr>
      <w:r>
        <w:rPr>
          <w:rFonts w:eastAsia="黑体" w:cs="黑体" w:hint="eastAsia"/>
          <w:spacing w:val="-2"/>
        </w:rPr>
        <w:t>第十七条</w:t>
      </w:r>
      <w:r>
        <w:rPr>
          <w:rFonts w:eastAsia="黑体"/>
          <w:spacing w:val="-2"/>
        </w:rPr>
        <w:t xml:space="preserve">  </w:t>
      </w:r>
      <w:r>
        <w:rPr>
          <w:rFonts w:hint="eastAsia"/>
          <w:spacing w:val="-2"/>
        </w:rPr>
        <w:t>莲花山核心保护区内的林木非因更新、景观和安全需要，不得采伐或移植。确因上述原因需要采伐或移植的，应当依</w:t>
      </w:r>
      <w:r>
        <w:rPr>
          <w:rFonts w:hint="eastAsia"/>
          <w:spacing w:val="-2"/>
        </w:rPr>
        <w:lastRenderedPageBreak/>
        <w:t>法办理审批手续，并由市林业主管部门通报莲花山保护管理机构。</w:t>
      </w:r>
    </w:p>
    <w:p w:rsidR="00A540B1" w:rsidRDefault="008079BF" w:rsidP="000F58E6">
      <w:pPr>
        <w:pStyle w:val="1"/>
        <w:snapToGrid w:val="0"/>
        <w:rPr>
          <w:rFonts w:ascii="仿宋_GB2312" w:cstheme="minorBidi"/>
        </w:rPr>
      </w:pPr>
      <w:r>
        <w:rPr>
          <w:rFonts w:ascii="仿宋_GB2312" w:cs="仿宋_GB2312" w:hint="eastAsia"/>
        </w:rPr>
        <w:t>莲花山保护范围内因教学、科研需要采集物种标本的，应当依法办理审批手续，在莲花山保护管理机构指定的地点限量采集。</w:t>
      </w:r>
    </w:p>
    <w:p w:rsidR="00A540B1" w:rsidRDefault="008079BF" w:rsidP="000F58E6">
      <w:pPr>
        <w:snapToGrid w:val="0"/>
        <w:spacing w:line="600" w:lineRule="exact"/>
        <w:ind w:firstLineChars="200" w:firstLine="640"/>
        <w:rPr>
          <w:rFonts w:ascii="Times New Roman" w:cstheme="minorBidi"/>
        </w:rPr>
      </w:pPr>
      <w:r>
        <w:rPr>
          <w:rFonts w:hint="eastAsia"/>
        </w:rPr>
        <w:t>林业主管部门应当督促林区有关单位订立护林公约，划定护林责任区，配备护林员，建立莲花山森林防火监测点和森林有害生物防控监测点。</w:t>
      </w:r>
    </w:p>
    <w:p w:rsidR="00A540B1" w:rsidRDefault="008079BF" w:rsidP="000F58E6">
      <w:pPr>
        <w:snapToGrid w:val="0"/>
        <w:spacing w:line="600" w:lineRule="exact"/>
        <w:ind w:firstLineChars="200" w:firstLine="632"/>
        <w:rPr>
          <w:rFonts w:ascii="Times New Roman" w:cstheme="minorBidi"/>
        </w:rPr>
      </w:pPr>
      <w:r>
        <w:rPr>
          <w:rFonts w:eastAsia="黑体" w:cs="黑体" w:hint="eastAsia"/>
          <w:spacing w:val="-2"/>
        </w:rPr>
        <w:t>第十八条</w:t>
      </w:r>
      <w:r>
        <w:rPr>
          <w:rFonts w:eastAsia="黑体"/>
          <w:spacing w:val="-2"/>
        </w:rPr>
        <w:t xml:space="preserve">  </w:t>
      </w:r>
      <w:r>
        <w:rPr>
          <w:rFonts w:hint="eastAsia"/>
        </w:rPr>
        <w:t>莲花山核心保护区内禁止新种速生桉树等人工速生丰产林。现状控制区和综合利用区内，林业主管部门应当采取有效措施，引导鼓励种植有利于涵养水源、保持水土、保护植被的林木，逐步减少速生桉树等人工速生丰产林种植面积。</w:t>
      </w:r>
    </w:p>
    <w:p w:rsidR="00A540B1" w:rsidRDefault="008079BF" w:rsidP="000F58E6">
      <w:pPr>
        <w:pStyle w:val="a5"/>
        <w:snapToGrid w:val="0"/>
        <w:spacing w:line="600" w:lineRule="exact"/>
        <w:ind w:firstLineChars="200" w:firstLine="624"/>
        <w:rPr>
          <w:rFonts w:ascii="仿宋_GB2312" w:eastAsia="仿宋_GB2312" w:hAnsi="Times New Roman" w:cstheme="minorBidi"/>
          <w:sz w:val="32"/>
          <w:szCs w:val="32"/>
        </w:rPr>
      </w:pPr>
      <w:r>
        <w:rPr>
          <w:rFonts w:ascii="Times New Roman" w:eastAsia="黑体" w:hAnsi="Times New Roman" w:cs="黑体" w:hint="eastAsia"/>
          <w:spacing w:val="-4"/>
          <w:kern w:val="2"/>
          <w:sz w:val="32"/>
          <w:szCs w:val="32"/>
        </w:rPr>
        <w:t>第十九条</w:t>
      </w:r>
      <w:r>
        <w:rPr>
          <w:rFonts w:ascii="Times New Roman" w:eastAsia="黑体" w:hAnsi="Times New Roman" w:cs="Times New Roman"/>
          <w:spacing w:val="-4"/>
          <w:kern w:val="2"/>
          <w:sz w:val="32"/>
          <w:szCs w:val="32"/>
        </w:rPr>
        <w:t xml:space="preserve">  </w:t>
      </w:r>
      <w:r>
        <w:rPr>
          <w:rFonts w:eastAsia="仿宋_GB2312" w:cs="仿宋_GB2312" w:hint="eastAsia"/>
          <w:sz w:val="32"/>
          <w:szCs w:val="32"/>
        </w:rPr>
        <w:t>市人民政府和莲花山所在城区人民政府应当加强莲花山保护范围内污水管网、生活垃圾收集设施等基础设施建设，实现污水达标排放和生活垃圾集中处理。</w:t>
      </w:r>
    </w:p>
    <w:p w:rsidR="00A540B1" w:rsidRDefault="008079BF" w:rsidP="000F58E6">
      <w:pPr>
        <w:pStyle w:val="a5"/>
        <w:snapToGrid w:val="0"/>
        <w:spacing w:line="600" w:lineRule="exact"/>
        <w:ind w:firstLineChars="200" w:firstLine="640"/>
        <w:rPr>
          <w:rFonts w:ascii="Times New Roman" w:eastAsia="仿宋_GB2312" w:hAnsi="Times New Roman" w:cstheme="minorBidi"/>
          <w:sz w:val="32"/>
          <w:szCs w:val="32"/>
        </w:rPr>
      </w:pPr>
      <w:r>
        <w:rPr>
          <w:rFonts w:ascii="Times New Roman" w:eastAsia="仿宋_GB2312" w:hAnsi="Times New Roman" w:cs="仿宋_GB2312" w:hint="eastAsia"/>
          <w:sz w:val="32"/>
          <w:szCs w:val="32"/>
        </w:rPr>
        <w:t>莲花山所在城区人民政府应当划定莲花山保护范围内的饮用水水源保护区，加强水质监测和卫生防护规范管理，因地制宜推进城市公共供水入村入户；开展饮用水水源保护区内的违法建设、排污口、生活污染源、规模化畜禽养殖污染源排查和清理，消除污染隐患。</w:t>
      </w:r>
    </w:p>
    <w:p w:rsidR="00A540B1" w:rsidRDefault="008079BF" w:rsidP="000F58E6">
      <w:pPr>
        <w:spacing w:line="600" w:lineRule="exact"/>
        <w:ind w:firstLineChars="200" w:firstLine="632"/>
        <w:rPr>
          <w:rFonts w:ascii="Times New Roman" w:cstheme="minorBidi"/>
          <w:spacing w:val="-2"/>
        </w:rPr>
      </w:pPr>
      <w:r>
        <w:rPr>
          <w:rFonts w:eastAsia="黑体" w:cs="黑体" w:hint="eastAsia"/>
          <w:spacing w:val="-2"/>
        </w:rPr>
        <w:t>第二十条</w:t>
      </w:r>
      <w:r>
        <w:rPr>
          <w:rFonts w:eastAsia="黑体"/>
          <w:spacing w:val="-2"/>
        </w:rPr>
        <w:t xml:space="preserve">  </w:t>
      </w:r>
      <w:r>
        <w:rPr>
          <w:rFonts w:hint="eastAsia"/>
          <w:spacing w:val="-2"/>
        </w:rPr>
        <w:t>莲花山保护管理机构应当会同有关主管部门对莲花山保护范围内的自然、人文资源按照下列要求进行保护：</w:t>
      </w:r>
    </w:p>
    <w:p w:rsidR="00A540B1" w:rsidRDefault="008079BF" w:rsidP="000F58E6">
      <w:pPr>
        <w:spacing w:line="600" w:lineRule="exact"/>
        <w:ind w:firstLineChars="200" w:firstLine="632"/>
        <w:rPr>
          <w:rFonts w:ascii="Times New Roman" w:cstheme="minorBidi"/>
          <w:spacing w:val="-2"/>
        </w:rPr>
      </w:pPr>
      <w:r>
        <w:rPr>
          <w:rFonts w:hint="eastAsia"/>
          <w:spacing w:val="-2"/>
        </w:rPr>
        <w:t>（一）建立古墓葬、碑碣石刻等文物古迹档案，划定保护范围，设立保护标志，落实保护措施；</w:t>
      </w:r>
    </w:p>
    <w:p w:rsidR="00A540B1" w:rsidRDefault="008079BF" w:rsidP="000F58E6">
      <w:pPr>
        <w:spacing w:line="600" w:lineRule="exact"/>
        <w:ind w:firstLineChars="200" w:firstLine="632"/>
        <w:rPr>
          <w:spacing w:val="-2"/>
        </w:rPr>
      </w:pPr>
      <w:r>
        <w:rPr>
          <w:rFonts w:hint="eastAsia"/>
          <w:spacing w:val="-2"/>
        </w:rPr>
        <w:t>（二）组织对古树名木进行调查、鉴定、定级、编号，登记造</w:t>
      </w:r>
      <w:r>
        <w:rPr>
          <w:rFonts w:hint="eastAsia"/>
          <w:spacing w:val="-2"/>
        </w:rPr>
        <w:lastRenderedPageBreak/>
        <w:t>册，设置保护标识，落实养护责任单位、责任人；</w:t>
      </w:r>
      <w:r>
        <w:rPr>
          <w:spacing w:val="-2"/>
        </w:rPr>
        <w:t xml:space="preserve"> </w:t>
      </w:r>
    </w:p>
    <w:p w:rsidR="00A540B1" w:rsidRDefault="008079BF" w:rsidP="000F58E6">
      <w:pPr>
        <w:snapToGrid w:val="0"/>
        <w:spacing w:line="600" w:lineRule="exact"/>
        <w:ind w:firstLineChars="200" w:firstLine="632"/>
        <w:rPr>
          <w:rFonts w:ascii="Times New Roman" w:cstheme="minorBidi"/>
          <w:spacing w:val="-2"/>
        </w:rPr>
      </w:pPr>
      <w:r>
        <w:rPr>
          <w:rFonts w:hint="eastAsia"/>
          <w:spacing w:val="-2"/>
        </w:rPr>
        <w:t>（三）划定湿地保护范围，制定保护方案。</w:t>
      </w:r>
    </w:p>
    <w:p w:rsidR="00A540B1" w:rsidRDefault="008079BF" w:rsidP="000F58E6">
      <w:pPr>
        <w:snapToGrid w:val="0"/>
        <w:spacing w:line="600" w:lineRule="exact"/>
        <w:ind w:firstLineChars="200" w:firstLine="640"/>
        <w:rPr>
          <w:rFonts w:ascii="黑体" w:eastAsia="黑体" w:cstheme="minorBidi"/>
        </w:rPr>
      </w:pPr>
      <w:r>
        <w:rPr>
          <w:rFonts w:ascii="宋体" w:eastAsia="黑体" w:hAnsi="宋体" w:cs="黑体" w:hint="eastAsia"/>
          <w:kern w:val="0"/>
        </w:rPr>
        <w:t>第二十一条</w:t>
      </w:r>
      <w:r>
        <w:rPr>
          <w:rFonts w:eastAsia="黑体"/>
          <w:spacing w:val="-2"/>
        </w:rPr>
        <w:t xml:space="preserve">  </w:t>
      </w:r>
      <w:r>
        <w:rPr>
          <w:rFonts w:hint="eastAsia"/>
        </w:rPr>
        <w:t>莲花山核心保护区划定为畜禽养殖禁养区，莲花山所在城区人民政府应当依法关闭或者搬迁核心保护区</w:t>
      </w:r>
      <w:r>
        <w:rPr>
          <w:rFonts w:hint="eastAsia"/>
          <w:spacing w:val="-4"/>
        </w:rPr>
        <w:t>范围</w:t>
      </w:r>
      <w:r>
        <w:rPr>
          <w:rFonts w:hint="eastAsia"/>
        </w:rPr>
        <w:t>内的畜禽养殖场、养殖小区和养殖专业户。</w:t>
      </w:r>
    </w:p>
    <w:p w:rsidR="00A540B1" w:rsidRDefault="008079BF" w:rsidP="000F58E6">
      <w:pPr>
        <w:snapToGrid w:val="0"/>
        <w:spacing w:line="600" w:lineRule="exact"/>
        <w:ind w:firstLineChars="200" w:firstLine="640"/>
        <w:rPr>
          <w:rFonts w:ascii="Times New Roman" w:cstheme="minorBidi"/>
        </w:rPr>
      </w:pPr>
      <w:r>
        <w:rPr>
          <w:rFonts w:hint="eastAsia"/>
        </w:rPr>
        <w:t>现状控制区、综合利用区应当逐步控制和减少畜禽饲养总量，不得新建、扩建畜禽养殖场、养殖小区。原有的畜禽养殖场、养殖小区应当根据污染防治需要，配套建设粪便、污水处置设施并保障其正常运转。其他从事畜禽养殖的单位和个人，应当采取措施，对畜禽粪便、尸体和污水等废弃物进行科学处置，防止污染环境。</w:t>
      </w:r>
    </w:p>
    <w:p w:rsidR="00A540B1" w:rsidRDefault="008079BF" w:rsidP="000F58E6">
      <w:pPr>
        <w:snapToGrid w:val="0"/>
        <w:spacing w:line="600" w:lineRule="exact"/>
        <w:ind w:firstLineChars="200" w:firstLine="624"/>
        <w:rPr>
          <w:rFonts w:ascii="Times New Roman" w:cstheme="minorBidi"/>
        </w:rPr>
      </w:pPr>
      <w:r>
        <w:rPr>
          <w:rFonts w:eastAsia="黑体" w:cs="黑体" w:hint="eastAsia"/>
          <w:spacing w:val="-4"/>
        </w:rPr>
        <w:t>第二十二条</w:t>
      </w:r>
      <w:r>
        <w:rPr>
          <w:rFonts w:eastAsia="黑体"/>
        </w:rPr>
        <w:t xml:space="preserve">  </w:t>
      </w:r>
      <w:r>
        <w:rPr>
          <w:rFonts w:hint="eastAsia"/>
        </w:rPr>
        <w:t>市人民政府城乡规划主管部门应当加强对莲花</w:t>
      </w:r>
      <w:proofErr w:type="gramStart"/>
      <w:r>
        <w:rPr>
          <w:rFonts w:hint="eastAsia"/>
        </w:rPr>
        <w:t>山相关</w:t>
      </w:r>
      <w:proofErr w:type="gramEnd"/>
      <w:r>
        <w:rPr>
          <w:rFonts w:hint="eastAsia"/>
        </w:rPr>
        <w:t>规划实施情况的监督检查。发现违法建设的，应当按照法定职责进行查处，或者将有关情况及时告知莲花山所在城区人民政府并督促其依法查处。</w:t>
      </w:r>
      <w:r>
        <w:rPr>
          <w:rFonts w:hAnsi="Arial" w:hint="eastAsia"/>
        </w:rPr>
        <w:t>国土资源、住房城乡建设</w:t>
      </w:r>
      <w:r>
        <w:rPr>
          <w:rFonts w:hint="eastAsia"/>
        </w:rPr>
        <w:t>等</w:t>
      </w:r>
      <w:r>
        <w:rPr>
          <w:rFonts w:hAnsi="Arial" w:hint="eastAsia"/>
        </w:rPr>
        <w:t>有关主管部门应当在各自职责范围内，共同做好违法建设的查处工作。</w:t>
      </w:r>
    </w:p>
    <w:p w:rsidR="00A540B1" w:rsidRDefault="008079BF" w:rsidP="000F58E6">
      <w:pPr>
        <w:pStyle w:val="a5"/>
        <w:snapToGrid w:val="0"/>
        <w:spacing w:line="600" w:lineRule="exact"/>
        <w:ind w:firstLineChars="200" w:firstLine="624"/>
        <w:rPr>
          <w:rFonts w:ascii="仿宋_GB2312" w:eastAsia="仿宋_GB2312" w:hAnsi="Times New Roman" w:cstheme="minorBidi"/>
          <w:sz w:val="32"/>
          <w:szCs w:val="32"/>
        </w:rPr>
      </w:pPr>
      <w:r>
        <w:rPr>
          <w:rFonts w:eastAsia="黑体" w:cs="黑体" w:hint="eastAsia"/>
          <w:spacing w:val="-4"/>
          <w:sz w:val="32"/>
          <w:szCs w:val="32"/>
        </w:rPr>
        <w:t>第二十三条</w:t>
      </w:r>
      <w:r>
        <w:rPr>
          <w:rFonts w:eastAsia="黑体"/>
          <w:spacing w:val="-4"/>
          <w:sz w:val="32"/>
          <w:szCs w:val="32"/>
        </w:rPr>
        <w:t xml:space="preserve">  </w:t>
      </w:r>
      <w:r>
        <w:rPr>
          <w:rFonts w:eastAsia="仿宋_GB2312" w:cs="仿宋_GB2312" w:hint="eastAsia"/>
          <w:sz w:val="32"/>
          <w:szCs w:val="32"/>
        </w:rPr>
        <w:t>莲花山保护范围内禁止新建、扩建坟墓。原有的坟墓，除受国家保护的具有历史、艺术和科研价值的坟墓外，应当按照有关规定限期迁移或深埋，不留坟头。</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第二十四条</w:t>
      </w:r>
      <w:r>
        <w:rPr>
          <w:rFonts w:eastAsia="黑体"/>
        </w:rPr>
        <w:t xml:space="preserve">  </w:t>
      </w:r>
      <w:r>
        <w:rPr>
          <w:rFonts w:hint="eastAsia"/>
        </w:rPr>
        <w:t>莲花山保护范围内进行下列活动，应当依法办理审批手续，有关主管部门</w:t>
      </w:r>
      <w:proofErr w:type="gramStart"/>
      <w:r>
        <w:rPr>
          <w:rFonts w:hint="eastAsia"/>
        </w:rPr>
        <w:t>作出</w:t>
      </w:r>
      <w:proofErr w:type="gramEnd"/>
      <w:r>
        <w:rPr>
          <w:rFonts w:hint="eastAsia"/>
        </w:rPr>
        <w:t>批准决定的，应当通报莲花山保护管理机构</w:t>
      </w:r>
      <w:r>
        <w:t>:</w:t>
      </w:r>
    </w:p>
    <w:p w:rsidR="00A540B1" w:rsidRDefault="008079BF" w:rsidP="000F58E6">
      <w:pPr>
        <w:snapToGrid w:val="0"/>
        <w:spacing w:line="600" w:lineRule="exact"/>
        <w:ind w:firstLineChars="200" w:firstLine="640"/>
      </w:pPr>
      <w:r>
        <w:rPr>
          <w:rFonts w:hint="eastAsia"/>
        </w:rPr>
        <w:t>（一）新增摩崖石刻、碑碣、雕塑等</w:t>
      </w:r>
      <w:r>
        <w:t>;</w:t>
      </w:r>
    </w:p>
    <w:p w:rsidR="00A540B1" w:rsidRDefault="008079BF" w:rsidP="000F58E6">
      <w:pPr>
        <w:snapToGrid w:val="0"/>
        <w:spacing w:line="600" w:lineRule="exact"/>
        <w:ind w:firstLineChars="200" w:firstLine="640"/>
        <w:rPr>
          <w:rFonts w:ascii="Times New Roman" w:cstheme="minorBidi"/>
        </w:rPr>
      </w:pPr>
      <w:r>
        <w:rPr>
          <w:rFonts w:hint="eastAsia"/>
        </w:rPr>
        <w:lastRenderedPageBreak/>
        <w:t>（二）设置大型户外广告；</w:t>
      </w:r>
    </w:p>
    <w:p w:rsidR="00A540B1" w:rsidRDefault="008079BF" w:rsidP="000F58E6">
      <w:pPr>
        <w:snapToGrid w:val="0"/>
        <w:spacing w:line="600" w:lineRule="exact"/>
        <w:ind w:firstLineChars="200" w:firstLine="640"/>
        <w:rPr>
          <w:rFonts w:ascii="Times New Roman" w:cstheme="minorBidi"/>
        </w:rPr>
      </w:pPr>
      <w:r>
        <w:rPr>
          <w:rFonts w:hint="eastAsia"/>
        </w:rPr>
        <w:t>（三）举办大型或者营业性的体育赛事、会展、演出、游乐等活动；</w:t>
      </w:r>
    </w:p>
    <w:p w:rsidR="00A540B1" w:rsidRDefault="008079BF" w:rsidP="000F58E6">
      <w:pPr>
        <w:snapToGrid w:val="0"/>
        <w:spacing w:line="600" w:lineRule="exact"/>
        <w:ind w:firstLineChars="200" w:firstLine="640"/>
        <w:rPr>
          <w:rFonts w:ascii="Times New Roman" w:cstheme="minorBidi"/>
        </w:rPr>
      </w:pPr>
      <w:r>
        <w:rPr>
          <w:rFonts w:hint="eastAsia"/>
        </w:rPr>
        <w:t>（四）其他可能影响生态环境的活动。</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第二十五条</w:t>
      </w:r>
      <w:r>
        <w:rPr>
          <w:rFonts w:eastAsia="黑体"/>
        </w:rPr>
        <w:t xml:space="preserve">  </w:t>
      </w:r>
      <w:r>
        <w:rPr>
          <w:rFonts w:hint="eastAsia"/>
        </w:rPr>
        <w:t>莲花山保护范围内依法从事餐饮、娱乐、宾馆等服务性活动的经营者应当采取有效的污染防治措施，确保垃圾处置、污水和油烟排放符合国家和地方规定的标准。</w:t>
      </w:r>
    </w:p>
    <w:p w:rsidR="00A540B1" w:rsidRDefault="008079BF" w:rsidP="000F58E6">
      <w:pPr>
        <w:pStyle w:val="3"/>
        <w:spacing w:line="600" w:lineRule="exact"/>
        <w:ind w:firstLine="640"/>
        <w:rPr>
          <w:rFonts w:ascii="Times New Roman" w:cstheme="minorBidi"/>
          <w:spacing w:val="0"/>
        </w:rPr>
      </w:pPr>
      <w:r>
        <w:rPr>
          <w:rFonts w:hint="eastAsia"/>
          <w:spacing w:val="0"/>
        </w:rPr>
        <w:t>莲花山保护范围内摆摊设点、兜售物品，应当按照莲花山所在城区人民政府规定的地点、时限有序经营，保持经营场地清洁。</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第二十六条</w:t>
      </w:r>
      <w:r>
        <w:rPr>
          <w:rFonts w:eastAsia="黑体"/>
        </w:rPr>
        <w:t xml:space="preserve">  </w:t>
      </w:r>
      <w:r>
        <w:rPr>
          <w:rFonts w:hint="eastAsia"/>
        </w:rPr>
        <w:t>莲花山保护范围内，禁止下列行为：</w:t>
      </w:r>
    </w:p>
    <w:p w:rsidR="00A540B1" w:rsidRDefault="008079BF" w:rsidP="000F58E6">
      <w:pPr>
        <w:snapToGrid w:val="0"/>
        <w:spacing w:line="600" w:lineRule="exact"/>
        <w:ind w:firstLineChars="200" w:firstLine="640"/>
        <w:rPr>
          <w:rFonts w:ascii="Times New Roman" w:cstheme="minorBidi"/>
        </w:rPr>
      </w:pPr>
      <w:r>
        <w:rPr>
          <w:rFonts w:hint="eastAsia"/>
        </w:rPr>
        <w:t>（一）采石、开矿，擅自挖山取土、非法弃土等破坏地形、地貌的行为；</w:t>
      </w:r>
    </w:p>
    <w:p w:rsidR="00A540B1" w:rsidRDefault="008079BF" w:rsidP="000F58E6">
      <w:pPr>
        <w:snapToGrid w:val="0"/>
        <w:spacing w:line="600" w:lineRule="exact"/>
        <w:ind w:firstLineChars="200" w:firstLine="640"/>
        <w:rPr>
          <w:rFonts w:ascii="Times New Roman" w:cstheme="minorBidi"/>
        </w:rPr>
      </w:pPr>
      <w:r>
        <w:rPr>
          <w:rFonts w:hint="eastAsia"/>
        </w:rPr>
        <w:t>（二）毁林开垦、毁林采种和违反操作技术规程采脂、挖笋、掘根、剥树皮等毁林行为；</w:t>
      </w:r>
    </w:p>
    <w:p w:rsidR="00A540B1" w:rsidRDefault="008079BF" w:rsidP="000F58E6">
      <w:pPr>
        <w:snapToGrid w:val="0"/>
        <w:spacing w:line="600" w:lineRule="exact"/>
        <w:ind w:firstLineChars="200" w:firstLine="640"/>
        <w:rPr>
          <w:rFonts w:ascii="Times New Roman" w:cstheme="minorBidi"/>
        </w:rPr>
      </w:pPr>
      <w:r>
        <w:rPr>
          <w:rFonts w:hint="eastAsia"/>
        </w:rPr>
        <w:t>（三）露天烧烤食品或者为露天烧烤食品提供场地；</w:t>
      </w:r>
    </w:p>
    <w:p w:rsidR="00A540B1" w:rsidRDefault="008079BF" w:rsidP="000F58E6">
      <w:pPr>
        <w:snapToGrid w:val="0"/>
        <w:spacing w:line="600" w:lineRule="exact"/>
        <w:ind w:firstLineChars="200" w:firstLine="640"/>
        <w:rPr>
          <w:rFonts w:ascii="Times New Roman" w:cstheme="minorBidi"/>
        </w:rPr>
      </w:pPr>
      <w:r>
        <w:rPr>
          <w:rFonts w:hint="eastAsia"/>
        </w:rPr>
        <w:t>（四）破坏野生动植物生息繁衍场所及生存条件；</w:t>
      </w:r>
    </w:p>
    <w:p w:rsidR="00A540B1" w:rsidRDefault="008079BF" w:rsidP="000F58E6">
      <w:pPr>
        <w:snapToGrid w:val="0"/>
        <w:spacing w:line="600" w:lineRule="exact"/>
        <w:ind w:firstLineChars="200" w:firstLine="640"/>
        <w:rPr>
          <w:rFonts w:ascii="Times New Roman" w:cstheme="minorBidi"/>
        </w:rPr>
      </w:pPr>
      <w:r>
        <w:rPr>
          <w:rFonts w:hint="eastAsia"/>
        </w:rPr>
        <w:t>（五）倾倒、焚烧垃圾或者其他废弃物；</w:t>
      </w:r>
    </w:p>
    <w:p w:rsidR="00A540B1" w:rsidRDefault="008079BF" w:rsidP="000F58E6">
      <w:pPr>
        <w:snapToGrid w:val="0"/>
        <w:spacing w:line="600" w:lineRule="exact"/>
        <w:ind w:firstLineChars="200" w:firstLine="640"/>
        <w:rPr>
          <w:rFonts w:ascii="Times New Roman" w:cstheme="minorBidi"/>
        </w:rPr>
      </w:pPr>
      <w:r>
        <w:rPr>
          <w:rFonts w:hint="eastAsia"/>
        </w:rPr>
        <w:t>（六）违规燃放烟花爆竹和野外用火；</w:t>
      </w:r>
    </w:p>
    <w:p w:rsidR="00A540B1" w:rsidRDefault="008079BF" w:rsidP="000F58E6">
      <w:pPr>
        <w:snapToGrid w:val="0"/>
        <w:spacing w:line="600" w:lineRule="exact"/>
        <w:ind w:firstLineChars="200" w:firstLine="640"/>
        <w:rPr>
          <w:rFonts w:ascii="Times New Roman" w:cstheme="minorBidi"/>
        </w:rPr>
      </w:pPr>
      <w:r>
        <w:rPr>
          <w:rFonts w:hint="eastAsia"/>
        </w:rPr>
        <w:t>（七）损坏、擅自移动界桩或者其他边界标识；</w:t>
      </w:r>
    </w:p>
    <w:p w:rsidR="00A540B1" w:rsidRDefault="008079BF" w:rsidP="000F58E6">
      <w:pPr>
        <w:snapToGrid w:val="0"/>
        <w:spacing w:line="600" w:lineRule="exact"/>
        <w:ind w:firstLineChars="200" w:firstLine="640"/>
        <w:rPr>
          <w:rFonts w:ascii="Times New Roman" w:cstheme="minorBidi"/>
        </w:rPr>
      </w:pPr>
      <w:r>
        <w:rPr>
          <w:rFonts w:hint="eastAsia"/>
        </w:rPr>
        <w:t>（八）法律、法规禁止的其他行为。</w:t>
      </w:r>
    </w:p>
    <w:p w:rsidR="00A540B1" w:rsidRDefault="008079BF" w:rsidP="00380384">
      <w:pPr>
        <w:pStyle w:val="a5"/>
        <w:snapToGrid w:val="0"/>
        <w:spacing w:beforeLines="50" w:afterLines="50" w:line="600" w:lineRule="exact"/>
        <w:jc w:val="center"/>
        <w:rPr>
          <w:rFonts w:ascii="Times New Roman" w:eastAsia="黑体" w:hAnsi="Times New Roman" w:cstheme="minorBidi"/>
          <w:sz w:val="32"/>
          <w:szCs w:val="32"/>
        </w:rPr>
      </w:pPr>
      <w:r>
        <w:rPr>
          <w:rFonts w:ascii="Times New Roman" w:eastAsia="黑体" w:hAnsi="Times New Roman" w:cs="黑体" w:hint="eastAsia"/>
          <w:sz w:val="32"/>
          <w:szCs w:val="32"/>
        </w:rPr>
        <w:t>第四章</w:t>
      </w:r>
      <w:r>
        <w:rPr>
          <w:rFonts w:ascii="Times New Roman" w:eastAsia="黑体" w:hAnsi="Times New Roman" w:cs="Times New Roman"/>
          <w:sz w:val="32"/>
          <w:szCs w:val="32"/>
        </w:rPr>
        <w:t xml:space="preserve">  </w:t>
      </w:r>
      <w:r>
        <w:rPr>
          <w:rFonts w:ascii="Times New Roman" w:eastAsia="黑体" w:hAnsi="Times New Roman" w:cs="黑体" w:hint="eastAsia"/>
          <w:sz w:val="32"/>
          <w:szCs w:val="32"/>
        </w:rPr>
        <w:t>保障与监督</w:t>
      </w:r>
    </w:p>
    <w:p w:rsidR="00A540B1" w:rsidRDefault="008079BF" w:rsidP="000F58E6">
      <w:pPr>
        <w:snapToGrid w:val="0"/>
        <w:spacing w:line="600" w:lineRule="exact"/>
        <w:ind w:firstLineChars="200" w:firstLine="640"/>
        <w:rPr>
          <w:rFonts w:ascii="Times New Roman" w:cstheme="minorBidi"/>
          <w:color w:val="FF0000"/>
        </w:rPr>
      </w:pPr>
      <w:r>
        <w:rPr>
          <w:rFonts w:eastAsia="黑体" w:cs="黑体" w:hint="eastAsia"/>
        </w:rPr>
        <w:t>第二十七条</w:t>
      </w:r>
      <w:r>
        <w:rPr>
          <w:rFonts w:eastAsia="黑体"/>
        </w:rPr>
        <w:t xml:space="preserve">  </w:t>
      </w:r>
      <w:r>
        <w:rPr>
          <w:rFonts w:hint="eastAsia"/>
        </w:rPr>
        <w:t>市人民政府应当建立莲花山生态补偿机制，对</w:t>
      </w:r>
      <w:r>
        <w:rPr>
          <w:rFonts w:hint="eastAsia"/>
        </w:rPr>
        <w:lastRenderedPageBreak/>
        <w:t>因承担莲花山生态环境保护责任致使经济发展受到一定限制的有关组织和个人给予补偿。具体办法由市人民政府另行制定。</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第二十八条</w:t>
      </w:r>
      <w:r>
        <w:rPr>
          <w:rFonts w:eastAsia="黑体"/>
        </w:rPr>
        <w:t xml:space="preserve">  </w:t>
      </w:r>
      <w:r>
        <w:rPr>
          <w:rFonts w:hint="eastAsia"/>
        </w:rPr>
        <w:t>市人民政府和莲花山所在城区人民政府应当加大对莲花山保护的政策扶持，优先安排生态建设工程和公益性基础设施建设项目。莲花山所在城区人民政府应当鼓励和引导发展生态农业、旅游休闲等与生态保护相适应的产业，提高生态综合效益和农民收入水平。</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第二十九条</w:t>
      </w:r>
      <w:r>
        <w:rPr>
          <w:rFonts w:eastAsia="黑体"/>
        </w:rPr>
        <w:t xml:space="preserve">  </w:t>
      </w:r>
      <w:r>
        <w:rPr>
          <w:rFonts w:hint="eastAsia"/>
        </w:rPr>
        <w:t>市人民政府和莲花山所在城区人民政府应当定期向同级人民代表大会常务委员会报告莲花山生态环境保护的情况。</w:t>
      </w:r>
    </w:p>
    <w:p w:rsidR="00A540B1" w:rsidRDefault="008079BF" w:rsidP="000F58E6">
      <w:pPr>
        <w:pStyle w:val="1"/>
        <w:snapToGrid w:val="0"/>
        <w:rPr>
          <w:rFonts w:ascii="仿宋_GB2312" w:cs="仿宋_GB2312"/>
        </w:rPr>
      </w:pPr>
      <w:r>
        <w:rPr>
          <w:rFonts w:ascii="仿宋_GB2312" w:cs="仿宋_GB2312" w:hint="eastAsia"/>
        </w:rPr>
        <w:t>市人民代表大会常务委员会和莲花山所在城区人民代表大会常务委员会通过组织执法检查、开展专题询问等方式，对莲花山生态环境保护进行监督。</w:t>
      </w:r>
    </w:p>
    <w:p w:rsidR="00A540B1" w:rsidRDefault="00A540B1" w:rsidP="000F58E6">
      <w:pPr>
        <w:pStyle w:val="1"/>
        <w:snapToGrid w:val="0"/>
        <w:rPr>
          <w:rFonts w:ascii="仿宋_GB2312" w:cstheme="minorBidi"/>
        </w:rPr>
      </w:pPr>
    </w:p>
    <w:p w:rsidR="00A540B1" w:rsidRDefault="008079BF" w:rsidP="00380384">
      <w:pPr>
        <w:pStyle w:val="a5"/>
        <w:snapToGrid w:val="0"/>
        <w:spacing w:beforeLines="50" w:afterLines="50" w:line="600" w:lineRule="exact"/>
        <w:jc w:val="center"/>
        <w:rPr>
          <w:rFonts w:ascii="Times New Roman" w:eastAsia="黑体" w:hAnsi="Times New Roman" w:cstheme="minorBidi"/>
          <w:sz w:val="32"/>
          <w:szCs w:val="32"/>
        </w:rPr>
      </w:pPr>
      <w:r>
        <w:rPr>
          <w:rFonts w:ascii="Times New Roman" w:eastAsia="黑体" w:hAnsi="Times New Roman" w:cs="黑体" w:hint="eastAsia"/>
          <w:sz w:val="32"/>
          <w:szCs w:val="32"/>
        </w:rPr>
        <w:t>第五章</w:t>
      </w:r>
      <w:r>
        <w:rPr>
          <w:rFonts w:ascii="Times New Roman" w:eastAsia="黑体" w:hAnsi="Times New Roman" w:cs="Times New Roman"/>
          <w:sz w:val="32"/>
          <w:szCs w:val="32"/>
        </w:rPr>
        <w:t xml:space="preserve">  </w:t>
      </w:r>
      <w:r>
        <w:rPr>
          <w:rFonts w:ascii="Times New Roman" w:eastAsia="黑体" w:hAnsi="Times New Roman" w:cs="黑体" w:hint="eastAsia"/>
          <w:sz w:val="32"/>
          <w:szCs w:val="32"/>
        </w:rPr>
        <w:t>法律责任</w:t>
      </w:r>
    </w:p>
    <w:p w:rsidR="00A540B1" w:rsidRDefault="008079BF" w:rsidP="000F58E6">
      <w:pPr>
        <w:snapToGrid w:val="0"/>
        <w:spacing w:line="600" w:lineRule="exact"/>
        <w:ind w:firstLineChars="200" w:firstLine="640"/>
        <w:rPr>
          <w:rFonts w:ascii="微软雅黑" w:eastAsia="微软雅黑" w:hAnsi="微软雅黑" w:cstheme="minorBidi"/>
          <w:color w:val="FF0000"/>
        </w:rPr>
      </w:pPr>
      <w:r>
        <w:rPr>
          <w:rFonts w:eastAsia="黑体" w:cs="黑体" w:hint="eastAsia"/>
        </w:rPr>
        <w:t>第三十条</w:t>
      </w:r>
      <w:r>
        <w:rPr>
          <w:rFonts w:eastAsia="黑体"/>
        </w:rPr>
        <w:t xml:space="preserve">  </w:t>
      </w:r>
      <w:r>
        <w:rPr>
          <w:rFonts w:hint="eastAsia"/>
        </w:rPr>
        <w:t>违反本条例规定的行为，法律、法规已有法律责任规定的，依照其规定处理。</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第三十一条</w:t>
      </w:r>
      <w:r>
        <w:rPr>
          <w:rFonts w:eastAsia="黑体"/>
        </w:rPr>
        <w:t xml:space="preserve">  </w:t>
      </w:r>
      <w:r>
        <w:rPr>
          <w:rFonts w:hint="eastAsia"/>
        </w:rPr>
        <w:t>有下列行为之一的，按照以下规定处理：</w:t>
      </w:r>
    </w:p>
    <w:p w:rsidR="00A540B1" w:rsidRDefault="008079BF" w:rsidP="000F58E6">
      <w:pPr>
        <w:snapToGrid w:val="0"/>
        <w:spacing w:line="600" w:lineRule="exact"/>
        <w:ind w:firstLineChars="200" w:firstLine="640"/>
        <w:rPr>
          <w:rFonts w:ascii="Times New Roman" w:cstheme="minorBidi"/>
        </w:rPr>
      </w:pPr>
      <w:r>
        <w:rPr>
          <w:rFonts w:hint="eastAsia"/>
        </w:rPr>
        <w:t>（一）违反本条例第十五条规定，由于建设活动导致莲花山保护范围内自然资源和人文景观的原有风貌受到破坏的，由莲花山保护管理机构责令限期改正，恢复原状；不能恢复原状的，责令赔偿损失，可以并处一千元以上三万元以下罚款。</w:t>
      </w:r>
    </w:p>
    <w:p w:rsidR="00A540B1" w:rsidRDefault="008079BF" w:rsidP="000F58E6">
      <w:pPr>
        <w:snapToGrid w:val="0"/>
        <w:spacing w:line="600" w:lineRule="exact"/>
        <w:ind w:firstLineChars="200" w:firstLine="640"/>
        <w:rPr>
          <w:rFonts w:ascii="Times New Roman" w:cstheme="minorBidi"/>
        </w:rPr>
      </w:pPr>
      <w:r>
        <w:rPr>
          <w:rFonts w:hint="eastAsia"/>
        </w:rPr>
        <w:lastRenderedPageBreak/>
        <w:t>（二）违反本条例第二十三条规定，新建、扩建坟墓的，由莲花山保护管理机构责令停止违法行为或者限期迁移，可以处每座坟墓五千元以上二万元以下罚款。</w:t>
      </w:r>
    </w:p>
    <w:p w:rsidR="00A540B1" w:rsidRDefault="008079BF" w:rsidP="000F58E6">
      <w:pPr>
        <w:snapToGrid w:val="0"/>
        <w:spacing w:line="600" w:lineRule="exact"/>
        <w:ind w:firstLineChars="200" w:firstLine="640"/>
        <w:rPr>
          <w:rFonts w:ascii="Times New Roman" w:cstheme="minorBidi"/>
        </w:rPr>
      </w:pPr>
      <w:r>
        <w:rPr>
          <w:rFonts w:hint="eastAsia"/>
        </w:rPr>
        <w:t>（三）违反本条例第二十六条第四、五、六、七项规定，由莲花山保护管理机构责令改正，可以处五百元以上五千元以下罚款。</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第三十二条</w:t>
      </w:r>
      <w:r>
        <w:rPr>
          <w:rFonts w:eastAsia="黑体"/>
        </w:rPr>
        <w:t xml:space="preserve">  </w:t>
      </w:r>
      <w:r>
        <w:rPr>
          <w:rFonts w:hint="eastAsia"/>
        </w:rPr>
        <w:t>违反本条例第二十一条第二款规定，未对畜禽粪便、尸体和污水等废弃物进行科学处置造成污染的，由环境保护主管部门责令限期改正，逾期不改正，对规模化养殖的，依照有关法律、法规处罚；对非规模化养殖的，可以处五百元以上二千元以下罚款。</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第三十三条</w:t>
      </w:r>
      <w:r>
        <w:rPr>
          <w:rFonts w:eastAsia="黑体"/>
        </w:rPr>
        <w:t xml:space="preserve">  </w:t>
      </w:r>
      <w:r>
        <w:rPr>
          <w:rFonts w:hint="eastAsia"/>
        </w:rPr>
        <w:t>违反本条例规定，在莲花山保护范围内实施违法建设活动的，由城乡规划主管部门责令停止建设、限期拆除，可以对个人处五万元以上十万元以下罚款，对单位处五十万元以上一百万元以下罚款。</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第三十四条</w:t>
      </w:r>
      <w:r>
        <w:rPr>
          <w:rFonts w:eastAsia="黑体"/>
        </w:rPr>
        <w:t xml:space="preserve">  </w:t>
      </w:r>
      <w:r>
        <w:rPr>
          <w:rFonts w:hint="eastAsia"/>
        </w:rPr>
        <w:t>有下列行为之一的，按照以下规定处理：</w:t>
      </w:r>
    </w:p>
    <w:p w:rsidR="00A540B1" w:rsidRDefault="008079BF" w:rsidP="000F58E6">
      <w:pPr>
        <w:pStyle w:val="a5"/>
        <w:snapToGrid w:val="0"/>
        <w:spacing w:line="600" w:lineRule="exact"/>
        <w:ind w:firstLineChars="200" w:firstLine="640"/>
        <w:rPr>
          <w:rFonts w:ascii="仿宋_GB2312" w:eastAsia="仿宋_GB2312" w:cstheme="minorBidi"/>
          <w:sz w:val="32"/>
          <w:szCs w:val="32"/>
        </w:rPr>
      </w:pPr>
      <w:r>
        <w:rPr>
          <w:rFonts w:eastAsia="仿宋_GB2312" w:cs="仿宋_GB2312" w:hint="eastAsia"/>
          <w:sz w:val="32"/>
          <w:szCs w:val="32"/>
        </w:rPr>
        <w:t>（一）违反本条例第二十五条第二款规定，不按规定的地点、时限有序经营的，由市容环境卫生主管部门责令改正；拒不改正的，处五百元以上三千元以下罚款。</w:t>
      </w:r>
    </w:p>
    <w:p w:rsidR="00A540B1" w:rsidRDefault="008079BF" w:rsidP="000F58E6">
      <w:pPr>
        <w:pStyle w:val="a5"/>
        <w:snapToGrid w:val="0"/>
        <w:spacing w:line="600" w:lineRule="exact"/>
        <w:ind w:firstLineChars="200" w:firstLine="640"/>
        <w:rPr>
          <w:rFonts w:ascii="仿宋_GB2312" w:eastAsia="仿宋_GB2312" w:hAnsi="Times New Roman" w:cstheme="minorBidi"/>
          <w:sz w:val="32"/>
          <w:szCs w:val="32"/>
        </w:rPr>
      </w:pPr>
      <w:r>
        <w:rPr>
          <w:rFonts w:eastAsia="仿宋_GB2312" w:cs="仿宋_GB2312" w:hint="eastAsia"/>
          <w:sz w:val="32"/>
          <w:szCs w:val="32"/>
        </w:rPr>
        <w:t>（二）违反本条例第二十六条第三项规定，在莲花山保护范围内露天烧烤或者为露天烧烤食品提供场地的，由市容环境卫生主管部门责令改正</w:t>
      </w:r>
      <w:r>
        <w:rPr>
          <w:rFonts w:ascii="仿宋_GB2312" w:eastAsia="仿宋_GB2312" w:cs="仿宋_GB2312"/>
          <w:sz w:val="32"/>
          <w:szCs w:val="32"/>
        </w:rPr>
        <w:t>,</w:t>
      </w:r>
      <w:r>
        <w:rPr>
          <w:rFonts w:eastAsia="仿宋_GB2312" w:cs="仿宋_GB2312" w:hint="eastAsia"/>
          <w:sz w:val="32"/>
          <w:szCs w:val="32"/>
        </w:rPr>
        <w:t>没收烧烤工具和违法所得</w:t>
      </w:r>
      <w:r>
        <w:rPr>
          <w:rFonts w:ascii="仿宋_GB2312" w:eastAsia="仿宋_GB2312" w:cs="仿宋_GB2312"/>
          <w:sz w:val="32"/>
          <w:szCs w:val="32"/>
        </w:rPr>
        <w:t>,</w:t>
      </w:r>
      <w:r>
        <w:rPr>
          <w:rFonts w:eastAsia="仿宋_GB2312" w:cs="仿宋_GB2312" w:hint="eastAsia"/>
          <w:sz w:val="32"/>
          <w:szCs w:val="32"/>
        </w:rPr>
        <w:t>并处五百元以上二万元以下罚款。</w:t>
      </w:r>
    </w:p>
    <w:p w:rsidR="00A540B1" w:rsidRDefault="008079BF" w:rsidP="000F58E6">
      <w:pPr>
        <w:pStyle w:val="a5"/>
        <w:shd w:val="clear" w:color="auto" w:fill="FFFFFF"/>
        <w:snapToGrid w:val="0"/>
        <w:spacing w:line="600" w:lineRule="exact"/>
        <w:ind w:firstLineChars="200" w:firstLine="640"/>
        <w:rPr>
          <w:rFonts w:ascii="Times New Roman" w:eastAsia="仿宋_GB2312" w:hAnsi="Times New Roman" w:cstheme="minorBidi"/>
          <w:kern w:val="2"/>
          <w:sz w:val="32"/>
          <w:szCs w:val="32"/>
        </w:rPr>
      </w:pPr>
      <w:r>
        <w:rPr>
          <w:rFonts w:ascii="Times New Roman" w:eastAsia="黑体" w:hAnsi="Times New Roman" w:cs="黑体" w:hint="eastAsia"/>
          <w:kern w:val="2"/>
          <w:sz w:val="32"/>
          <w:szCs w:val="32"/>
        </w:rPr>
        <w:lastRenderedPageBreak/>
        <w:t>第三十五条</w:t>
      </w:r>
      <w:r>
        <w:rPr>
          <w:rFonts w:ascii="Times New Roman" w:eastAsia="黑体" w:hAnsi="Times New Roman" w:cs="Times New Roman"/>
          <w:kern w:val="2"/>
          <w:sz w:val="32"/>
          <w:szCs w:val="32"/>
        </w:rPr>
        <w:t xml:space="preserve">  </w:t>
      </w:r>
      <w:r>
        <w:rPr>
          <w:rFonts w:ascii="Times New Roman" w:eastAsia="仿宋_GB2312" w:hAnsi="Times New Roman" w:cs="仿宋_GB2312" w:hint="eastAsia"/>
          <w:kern w:val="2"/>
          <w:sz w:val="32"/>
          <w:szCs w:val="32"/>
        </w:rPr>
        <w:t>违反本条例第二十六条第一项规定，破坏地形、地貌的，由国土资源主管部门责令停止违法行为，限期恢复原状或者采取其他补救措施，没收违法所得，可以并处五万元以上五十万元以下罚款；造成严重后果的，并处五十万元以上一百万元以下罚款。</w:t>
      </w:r>
    </w:p>
    <w:p w:rsidR="00A540B1" w:rsidRDefault="008079BF" w:rsidP="000F58E6">
      <w:pPr>
        <w:pStyle w:val="a5"/>
        <w:shd w:val="clear" w:color="auto" w:fill="FFFFFF"/>
        <w:snapToGrid w:val="0"/>
        <w:spacing w:line="600" w:lineRule="exact"/>
        <w:ind w:firstLineChars="210" w:firstLine="672"/>
        <w:jc w:val="both"/>
        <w:rPr>
          <w:rFonts w:ascii="Times New Roman" w:eastAsia="仿宋_GB2312" w:hAnsi="Times New Roman" w:cstheme="minorBidi"/>
          <w:kern w:val="2"/>
          <w:sz w:val="32"/>
          <w:szCs w:val="32"/>
        </w:rPr>
      </w:pPr>
      <w:r>
        <w:rPr>
          <w:rFonts w:eastAsia="黑体" w:cs="黑体" w:hint="eastAsia"/>
          <w:sz w:val="32"/>
          <w:szCs w:val="32"/>
        </w:rPr>
        <w:t>第三十六条</w:t>
      </w:r>
      <w:r>
        <w:rPr>
          <w:rFonts w:eastAsia="黑体"/>
          <w:sz w:val="32"/>
          <w:szCs w:val="32"/>
        </w:rPr>
        <w:t xml:space="preserve">  </w:t>
      </w:r>
      <w:r>
        <w:rPr>
          <w:rFonts w:eastAsia="仿宋_GB2312" w:cs="仿宋_GB2312" w:hint="eastAsia"/>
          <w:sz w:val="32"/>
          <w:szCs w:val="32"/>
        </w:rPr>
        <w:t>违反本条例第二十</w:t>
      </w:r>
      <w:r>
        <w:rPr>
          <w:rFonts w:ascii="Times New Roman" w:eastAsia="仿宋_GB2312" w:hAnsi="Times New Roman" w:cs="仿宋_GB2312" w:hint="eastAsia"/>
          <w:kern w:val="2"/>
          <w:sz w:val="32"/>
          <w:szCs w:val="32"/>
        </w:rPr>
        <w:t>六</w:t>
      </w:r>
      <w:r>
        <w:rPr>
          <w:rFonts w:eastAsia="仿宋_GB2312" w:cs="仿宋_GB2312" w:hint="eastAsia"/>
          <w:sz w:val="32"/>
          <w:szCs w:val="32"/>
        </w:rPr>
        <w:t>条第二项规定，毁林开垦、毁林采种、</w:t>
      </w:r>
      <w:r>
        <w:rPr>
          <w:rFonts w:ascii="Times New Roman" w:eastAsia="仿宋_GB2312" w:hAnsi="Times New Roman" w:cs="仿宋_GB2312" w:hint="eastAsia"/>
          <w:kern w:val="2"/>
          <w:sz w:val="32"/>
          <w:szCs w:val="32"/>
        </w:rPr>
        <w:t>违规采脂和其他活动，致使森林、林木受到毁坏的，依法赔偿损失；由林业主管部门责令停止违法行为，补种毁坏株数一倍以上三倍以下的树木，可以处毁坏林木价值三倍以上五倍以下的罚款。</w:t>
      </w:r>
    </w:p>
    <w:p w:rsidR="00A540B1" w:rsidRDefault="008079BF" w:rsidP="000F58E6">
      <w:pPr>
        <w:snapToGrid w:val="0"/>
        <w:spacing w:line="600" w:lineRule="exact"/>
        <w:ind w:firstLineChars="200" w:firstLine="640"/>
        <w:rPr>
          <w:rFonts w:ascii="黑体" w:eastAsia="黑体" w:hAnsi="黑体" w:cstheme="minorBidi"/>
          <w:shd w:val="clear" w:color="auto" w:fill="FFFFFF"/>
        </w:rPr>
      </w:pPr>
      <w:r>
        <w:rPr>
          <w:rFonts w:eastAsia="黑体" w:cs="黑体" w:hint="eastAsia"/>
        </w:rPr>
        <w:t>第三十七条</w:t>
      </w:r>
      <w:r>
        <w:rPr>
          <w:rFonts w:eastAsia="黑体"/>
        </w:rPr>
        <w:t xml:space="preserve">  </w:t>
      </w:r>
      <w:r>
        <w:rPr>
          <w:rFonts w:hint="eastAsia"/>
        </w:rPr>
        <w:t>莲花山保护管理机构发现不属于本机构处罚的违反有关法律、法规和本条例的行为，应当先行制止，并告知有关主管部门依法处理。</w:t>
      </w:r>
    </w:p>
    <w:p w:rsidR="00A540B1" w:rsidRDefault="008079BF" w:rsidP="000F58E6">
      <w:pPr>
        <w:snapToGrid w:val="0"/>
        <w:spacing w:line="600" w:lineRule="exact"/>
        <w:ind w:firstLineChars="200" w:firstLine="616"/>
        <w:rPr>
          <w:rFonts w:ascii="Times New Roman" w:cstheme="minorBidi"/>
          <w:spacing w:val="-6"/>
        </w:rPr>
      </w:pPr>
      <w:r>
        <w:rPr>
          <w:rFonts w:hint="eastAsia"/>
          <w:spacing w:val="-6"/>
        </w:rPr>
        <w:t>有关主管部门应当及时将处理情况抄告莲花山保护管理机构。</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第三十八条</w:t>
      </w:r>
      <w:r>
        <w:rPr>
          <w:rFonts w:eastAsia="黑体"/>
        </w:rPr>
        <w:t xml:space="preserve">  </w:t>
      </w:r>
      <w:r>
        <w:rPr>
          <w:rFonts w:hint="eastAsia"/>
        </w:rPr>
        <w:t>国家工作人员在莲花山保护工作中滥用职权、玩忽职守、徇私舞弊的，由其所在单位或者上级主管部门依法给予行政处分；构成犯罪的，依法追究刑事责任。</w:t>
      </w:r>
    </w:p>
    <w:p w:rsidR="00A540B1" w:rsidRDefault="008079BF" w:rsidP="00380384">
      <w:pPr>
        <w:snapToGrid w:val="0"/>
        <w:spacing w:beforeLines="50" w:afterLines="50" w:line="600" w:lineRule="exact"/>
        <w:ind w:firstLineChars="200" w:firstLine="640"/>
        <w:jc w:val="center"/>
        <w:rPr>
          <w:rFonts w:ascii="黑体" w:eastAsia="黑体" w:cstheme="minorBidi"/>
        </w:rPr>
      </w:pPr>
      <w:r>
        <w:rPr>
          <w:rFonts w:eastAsia="黑体" w:cs="黑体" w:hint="eastAsia"/>
        </w:rPr>
        <w:t>第六章</w:t>
      </w:r>
      <w:r>
        <w:rPr>
          <w:rFonts w:eastAsia="黑体"/>
        </w:rPr>
        <w:t xml:space="preserve">  </w:t>
      </w:r>
      <w:r>
        <w:rPr>
          <w:rFonts w:eastAsia="黑体" w:cs="黑体" w:hint="eastAsia"/>
        </w:rPr>
        <w:t>附　则</w:t>
      </w:r>
    </w:p>
    <w:p w:rsidR="00A540B1" w:rsidRDefault="008079BF" w:rsidP="000F58E6">
      <w:pPr>
        <w:snapToGrid w:val="0"/>
        <w:spacing w:line="600" w:lineRule="exact"/>
        <w:ind w:firstLineChars="200" w:firstLine="640"/>
        <w:rPr>
          <w:rFonts w:ascii="Times New Roman" w:cstheme="minorBidi"/>
        </w:rPr>
      </w:pPr>
      <w:r>
        <w:rPr>
          <w:rFonts w:eastAsia="黑体" w:cs="黑体" w:hint="eastAsia"/>
        </w:rPr>
        <w:t>第三十九条</w:t>
      </w:r>
      <w:r>
        <w:rPr>
          <w:rFonts w:eastAsia="黑体"/>
        </w:rPr>
        <w:t xml:space="preserve">  </w:t>
      </w:r>
      <w:r>
        <w:rPr>
          <w:rFonts w:hint="eastAsia"/>
        </w:rPr>
        <w:t>本条例自2017年8月1日起施行。</w:t>
      </w:r>
    </w:p>
    <w:p w:rsidR="00A540B1" w:rsidRDefault="008079BF" w:rsidP="000F58E6">
      <w:pPr>
        <w:widowControl/>
        <w:spacing w:line="600" w:lineRule="exact"/>
        <w:jc w:val="left"/>
      </w:pPr>
      <w:r>
        <w:br w:type="page"/>
      </w:r>
    </w:p>
    <w:p w:rsidR="00A540B1" w:rsidRDefault="008079BF" w:rsidP="000F58E6">
      <w:pPr>
        <w:snapToGrid w:val="0"/>
        <w:spacing w:line="600" w:lineRule="exact"/>
      </w:pPr>
      <w:r>
        <w:rPr>
          <w:rFonts w:hint="eastAsia"/>
        </w:rPr>
        <w:lastRenderedPageBreak/>
        <w:t>附件</w:t>
      </w:r>
    </w:p>
    <w:p w:rsidR="00A540B1" w:rsidRDefault="008079BF" w:rsidP="000F58E6">
      <w:pPr>
        <w:snapToGrid w:val="0"/>
        <w:spacing w:line="600" w:lineRule="exact"/>
        <w:jc w:val="center"/>
        <w:rPr>
          <w:rFonts w:eastAsia="黑体"/>
          <w:sz w:val="36"/>
        </w:rPr>
      </w:pPr>
      <w:r>
        <w:rPr>
          <w:rFonts w:eastAsia="黑体" w:hint="eastAsia"/>
          <w:sz w:val="36"/>
        </w:rPr>
        <w:t>莲花山保护范围示意图</w:t>
      </w:r>
    </w:p>
    <w:p w:rsidR="00A540B1" w:rsidRDefault="008079BF" w:rsidP="000F58E6">
      <w:pPr>
        <w:spacing w:line="600" w:lineRule="exact"/>
      </w:pPr>
      <w:r>
        <w:rPr>
          <w:rFonts w:hint="eastAsia"/>
          <w:noProof/>
        </w:rPr>
        <w:drawing>
          <wp:anchor distT="0" distB="0" distL="114300" distR="114300" simplePos="0" relativeHeight="251659264" behindDoc="0" locked="0" layoutInCell="1" allowOverlap="1">
            <wp:simplePos x="0" y="0"/>
            <wp:positionH relativeFrom="column">
              <wp:posOffset>538480</wp:posOffset>
            </wp:positionH>
            <wp:positionV relativeFrom="paragraph">
              <wp:posOffset>321310</wp:posOffset>
            </wp:positionV>
            <wp:extent cx="5181600" cy="7334885"/>
            <wp:effectExtent l="0" t="0" r="0" b="18415"/>
            <wp:wrapNone/>
            <wp:docPr id="1" name="图片 2" descr="柳资源规划函〔2019〕815号附件3：莲花山保护条例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柳资源规划函〔2019〕815号附件3：莲花山保护条例附图"/>
                    <pic:cNvPicPr>
                      <a:picLocks noChangeAspect="1"/>
                    </pic:cNvPicPr>
                  </pic:nvPicPr>
                  <pic:blipFill>
                    <a:blip r:embed="rId7" cstate="print"/>
                    <a:stretch>
                      <a:fillRect/>
                    </a:stretch>
                  </pic:blipFill>
                  <pic:spPr>
                    <a:xfrm>
                      <a:off x="0" y="0"/>
                      <a:ext cx="5181600" cy="7334885"/>
                    </a:xfrm>
                    <a:prstGeom prst="rect">
                      <a:avLst/>
                    </a:prstGeom>
                    <a:noFill/>
                    <a:ln w="9525">
                      <a:noFill/>
                    </a:ln>
                  </pic:spPr>
                </pic:pic>
              </a:graphicData>
            </a:graphic>
          </wp:anchor>
        </w:drawing>
      </w:r>
    </w:p>
    <w:sectPr w:rsidR="00A540B1" w:rsidSect="0036431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384" w:rsidRDefault="00380384" w:rsidP="00380384">
      <w:r>
        <w:separator/>
      </w:r>
    </w:p>
  </w:endnote>
  <w:endnote w:type="continuationSeparator" w:id="0">
    <w:p w:rsidR="00380384" w:rsidRDefault="00380384" w:rsidP="003803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384" w:rsidRDefault="00380384">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384" w:rsidRDefault="00380384">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384" w:rsidRDefault="0038038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384" w:rsidRDefault="00380384" w:rsidP="00380384">
      <w:r>
        <w:separator/>
      </w:r>
    </w:p>
  </w:footnote>
  <w:footnote w:type="continuationSeparator" w:id="0">
    <w:p w:rsidR="00380384" w:rsidRDefault="00380384" w:rsidP="003803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384" w:rsidRDefault="00380384">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384" w:rsidRDefault="00380384" w:rsidP="00380384">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384" w:rsidRDefault="00380384">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6C91"/>
    <w:rsid w:val="00084567"/>
    <w:rsid w:val="000F58E6"/>
    <w:rsid w:val="0036335C"/>
    <w:rsid w:val="00364316"/>
    <w:rsid w:val="00380384"/>
    <w:rsid w:val="008079BF"/>
    <w:rsid w:val="009F02CB"/>
    <w:rsid w:val="00A32E0E"/>
    <w:rsid w:val="00A540B1"/>
    <w:rsid w:val="00B555D0"/>
    <w:rsid w:val="00B56D22"/>
    <w:rsid w:val="00C66C91"/>
    <w:rsid w:val="00DB2737"/>
    <w:rsid w:val="00E465DE"/>
    <w:rsid w:val="00EB09AE"/>
    <w:rsid w:val="00ED425B"/>
    <w:rsid w:val="00FE5C4F"/>
    <w:rsid w:val="00FF4E56"/>
    <w:rsid w:val="141E3EAE"/>
    <w:rsid w:val="2D52274E"/>
    <w:rsid w:val="78ED43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ody Text Indent 2" w:semiHidden="0" w:unhideWhenUsed="0" w:qFormat="1"/>
    <w:lsdException w:name="Body Text Indent 3" w:semiHidden="0" w:unhideWhenUsed="0" w:qFormat="1"/>
    <w:lsdException w:name="FollowedHyperlink" w:uiPriority="0" w:unhideWhenUsed="0" w:qFormat="1"/>
    <w:lsdException w:name="Strong" w:semiHidden="0" w:uiPriority="22" w:unhideWhenUsed="0" w:qFormat="1"/>
    <w:lsdException w:name="Emphasis" w:semiHidden="0" w:uiPriority="20" w:unhideWhenUsed="0" w:qFormat="1"/>
    <w:lsdException w:name="Normal (Web)" w:semiHidden="0" w:unhideWhenUsed="0"/>
    <w:lsdException w:name="Normal Table"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364316"/>
    <w:pPr>
      <w:widowControl w:val="0"/>
      <w:jc w:val="both"/>
    </w:pPr>
    <w:rPr>
      <w:rFonts w:ascii="仿宋_GB2312" w:eastAsia="仿宋_GB2312" w:cs="仿宋_GB2312"/>
      <w:kern w:val="2"/>
      <w:sz w:val="32"/>
      <w:szCs w:val="32"/>
    </w:rPr>
  </w:style>
  <w:style w:type="paragraph" w:styleId="2">
    <w:name w:val="heading 2"/>
    <w:basedOn w:val="a"/>
    <w:next w:val="a"/>
    <w:uiPriority w:val="9"/>
    <w:qFormat/>
    <w:rsid w:val="00364316"/>
    <w:pPr>
      <w:keepNext/>
      <w:keepLines/>
      <w:spacing w:line="415" w:lineRule="auto"/>
      <w:outlineLvl w:val="1"/>
    </w:pPr>
    <w:rPr>
      <w:rFonts w:ascii="Arial" w:eastAsia="黑体" w:hAnsi="Arial"/>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
    <w:uiPriority w:val="99"/>
    <w:qFormat/>
    <w:rsid w:val="00364316"/>
    <w:pPr>
      <w:snapToGrid w:val="0"/>
      <w:spacing w:line="500" w:lineRule="exact"/>
      <w:ind w:firstLineChars="200" w:firstLine="640"/>
      <w:jc w:val="left"/>
    </w:pPr>
  </w:style>
  <w:style w:type="paragraph" w:styleId="a3">
    <w:name w:val="footer"/>
    <w:basedOn w:val="a"/>
    <w:link w:val="Char"/>
    <w:uiPriority w:val="99"/>
    <w:semiHidden/>
    <w:unhideWhenUsed/>
    <w:rsid w:val="00364316"/>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364316"/>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Char"/>
    <w:uiPriority w:val="99"/>
    <w:qFormat/>
    <w:rsid w:val="00364316"/>
    <w:pPr>
      <w:snapToGrid w:val="0"/>
      <w:spacing w:line="500" w:lineRule="exact"/>
      <w:ind w:firstLineChars="200" w:firstLine="608"/>
    </w:pPr>
    <w:rPr>
      <w:spacing w:val="-8"/>
    </w:rPr>
  </w:style>
  <w:style w:type="paragraph" w:styleId="a5">
    <w:name w:val="Normal (Web)"/>
    <w:basedOn w:val="a"/>
    <w:uiPriority w:val="99"/>
    <w:rsid w:val="00364316"/>
    <w:pPr>
      <w:widowControl/>
      <w:jc w:val="left"/>
    </w:pPr>
    <w:rPr>
      <w:rFonts w:ascii="宋体" w:eastAsia="宋体" w:hAnsi="宋体" w:cs="宋体"/>
      <w:kern w:val="0"/>
      <w:sz w:val="24"/>
      <w:szCs w:val="24"/>
    </w:rPr>
  </w:style>
  <w:style w:type="character" w:styleId="a6">
    <w:name w:val="FollowedHyperlink"/>
    <w:basedOn w:val="a0"/>
    <w:semiHidden/>
    <w:qFormat/>
    <w:rsid w:val="00364316"/>
    <w:rPr>
      <w:color w:val="800080"/>
      <w:u w:val="single"/>
    </w:rPr>
  </w:style>
  <w:style w:type="table" w:styleId="a7">
    <w:name w:val="Table Grid"/>
    <w:basedOn w:val="a1"/>
    <w:uiPriority w:val="59"/>
    <w:unhideWhenUsed/>
    <w:qFormat/>
    <w:rsid w:val="0036431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正文文本缩进 2 Char"/>
    <w:basedOn w:val="a0"/>
    <w:link w:val="20"/>
    <w:uiPriority w:val="99"/>
    <w:qFormat/>
    <w:rsid w:val="00364316"/>
    <w:rPr>
      <w:rFonts w:ascii="仿宋_GB2312" w:eastAsia="仿宋_GB2312" w:hAnsi="Times New Roman" w:cs="仿宋_GB2312"/>
      <w:sz w:val="32"/>
      <w:szCs w:val="32"/>
    </w:rPr>
  </w:style>
  <w:style w:type="character" w:customStyle="1" w:styleId="3Char">
    <w:name w:val="正文文本缩进 3 Char"/>
    <w:basedOn w:val="a0"/>
    <w:link w:val="3"/>
    <w:uiPriority w:val="99"/>
    <w:qFormat/>
    <w:rsid w:val="00364316"/>
    <w:rPr>
      <w:rFonts w:ascii="仿宋_GB2312" w:eastAsia="仿宋_GB2312" w:hAnsi="Times New Roman" w:cs="仿宋_GB2312"/>
      <w:spacing w:val="-8"/>
      <w:sz w:val="32"/>
      <w:szCs w:val="32"/>
    </w:rPr>
  </w:style>
  <w:style w:type="paragraph" w:customStyle="1" w:styleId="1">
    <w:name w:val="正文文本缩进1"/>
    <w:basedOn w:val="a"/>
    <w:uiPriority w:val="99"/>
    <w:qFormat/>
    <w:rsid w:val="00364316"/>
    <w:pPr>
      <w:spacing w:line="600" w:lineRule="exact"/>
      <w:ind w:firstLineChars="200" w:firstLine="640"/>
    </w:pPr>
    <w:rPr>
      <w:rFonts w:ascii="Times New Roman" w:cs="Times New Roman"/>
    </w:rPr>
  </w:style>
  <w:style w:type="character" w:customStyle="1" w:styleId="Char0">
    <w:name w:val="页眉 Char"/>
    <w:basedOn w:val="a0"/>
    <w:link w:val="a4"/>
    <w:uiPriority w:val="99"/>
    <w:semiHidden/>
    <w:qFormat/>
    <w:rsid w:val="00364316"/>
    <w:rPr>
      <w:rFonts w:ascii="仿宋_GB2312" w:eastAsia="仿宋_GB2312" w:hAnsi="Times New Roman" w:cs="仿宋_GB2312"/>
      <w:sz w:val="18"/>
      <w:szCs w:val="18"/>
    </w:rPr>
  </w:style>
  <w:style w:type="character" w:customStyle="1" w:styleId="Char">
    <w:name w:val="页脚 Char"/>
    <w:basedOn w:val="a0"/>
    <w:link w:val="a3"/>
    <w:uiPriority w:val="99"/>
    <w:semiHidden/>
    <w:qFormat/>
    <w:rsid w:val="00364316"/>
    <w:rPr>
      <w:rFonts w:ascii="仿宋_GB2312" w:eastAsia="仿宋_GB2312" w:hAnsi="Times New Roman" w:cs="仿宋_GB231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799</Words>
  <Characters>4557</Characters>
  <Application>Microsoft Office Word</Application>
  <DocSecurity>0</DocSecurity>
  <Lines>37</Lines>
  <Paragraphs>10</Paragraphs>
  <ScaleCrop>false</ScaleCrop>
  <Company>Microsoft</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win7-shd1</dc:creator>
  <cp:lastModifiedBy>fhc</cp:lastModifiedBy>
  <cp:revision>8</cp:revision>
  <dcterms:created xsi:type="dcterms:W3CDTF">2016-12-13T02:27:00Z</dcterms:created>
  <dcterms:modified xsi:type="dcterms:W3CDTF">2020-01-15T14:50:00Z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2052-10.8.2.6543</vt:lpwstr>
  </property>
</Properties>
</file>