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71F" w:rsidRPr="004C2000" w:rsidRDefault="00A9471F">
      <w:pPr>
        <w:adjustRightInd w:val="0"/>
        <w:snapToGrid w:val="0"/>
        <w:spacing w:line="580" w:lineRule="atLeast"/>
        <w:jc w:val="center"/>
        <w:rPr>
          <w:rFonts w:ascii="宋体"/>
          <w:sz w:val="32"/>
          <w:szCs w:val="32"/>
        </w:rPr>
      </w:pPr>
    </w:p>
    <w:p w:rsidR="00A9471F" w:rsidRPr="004C2000" w:rsidRDefault="00A9471F">
      <w:pPr>
        <w:adjustRightInd w:val="0"/>
        <w:snapToGrid w:val="0"/>
        <w:spacing w:line="580" w:lineRule="atLeast"/>
        <w:jc w:val="center"/>
        <w:rPr>
          <w:rFonts w:ascii="宋体"/>
          <w:sz w:val="32"/>
          <w:szCs w:val="32"/>
        </w:rPr>
      </w:pPr>
    </w:p>
    <w:p w:rsidR="00A9471F" w:rsidRPr="00487B3C" w:rsidRDefault="00A9471F">
      <w:pPr>
        <w:adjustRightInd w:val="0"/>
        <w:snapToGrid w:val="0"/>
        <w:spacing w:line="580" w:lineRule="atLeast"/>
        <w:jc w:val="center"/>
        <w:rPr>
          <w:rFonts w:ascii="宋体" w:hAnsi="宋体"/>
          <w:sz w:val="44"/>
          <w:szCs w:val="44"/>
        </w:rPr>
      </w:pPr>
      <w:r w:rsidRPr="00487B3C">
        <w:rPr>
          <w:rFonts w:ascii="宋体" w:hAnsi="宋体" w:cs="仿宋" w:hint="eastAsia"/>
          <w:sz w:val="44"/>
          <w:szCs w:val="44"/>
        </w:rPr>
        <w:t>乌鲁木齐市水资源管理条例</w:t>
      </w:r>
    </w:p>
    <w:p w:rsidR="00A9471F" w:rsidRPr="004C2000" w:rsidRDefault="00A9471F" w:rsidP="00487B3C">
      <w:pPr>
        <w:adjustRightInd w:val="0"/>
        <w:snapToGrid w:val="0"/>
        <w:spacing w:line="580" w:lineRule="atLeast"/>
        <w:ind w:leftChars="300" w:left="630" w:rightChars="300" w:right="630"/>
        <w:rPr>
          <w:rFonts w:ascii="宋体" w:cs="楷体"/>
          <w:sz w:val="32"/>
          <w:szCs w:val="32"/>
        </w:rPr>
      </w:pPr>
    </w:p>
    <w:p w:rsidR="00A9471F" w:rsidRPr="00487B3C" w:rsidRDefault="00A9471F" w:rsidP="00487B3C">
      <w:pPr>
        <w:adjustRightInd w:val="0"/>
        <w:snapToGrid w:val="0"/>
        <w:spacing w:line="580" w:lineRule="atLeast"/>
        <w:ind w:leftChars="300" w:left="790" w:rightChars="300" w:right="630" w:hangingChars="50" w:hanging="160"/>
        <w:rPr>
          <w:rFonts w:ascii="楷体_GB2312" w:eastAsia="楷体_GB2312" w:hAnsi="楷体" w:cs="楷体" w:hint="eastAsia"/>
          <w:sz w:val="32"/>
          <w:szCs w:val="32"/>
        </w:rPr>
      </w:pPr>
      <w:r w:rsidRPr="00487B3C">
        <w:rPr>
          <w:rFonts w:ascii="楷体_GB2312" w:eastAsia="楷体_GB2312" w:hAnsi="楷体" w:cs="楷体" w:hint="eastAsia"/>
          <w:sz w:val="32"/>
          <w:szCs w:val="32"/>
        </w:rPr>
        <w:t>（2006年7月28</w:t>
      </w:r>
      <w:r w:rsidRPr="00487B3C">
        <w:rPr>
          <w:rFonts w:ascii="楷体_GB2312" w:eastAsia="楷体_GB2312" w:hAnsi="仿宋" w:cs="仿宋" w:hint="eastAsia"/>
          <w:sz w:val="32"/>
          <w:szCs w:val="32"/>
        </w:rPr>
        <w:t>日乌鲁木齐市第十三届人民代表大会常务委员会第三十一次会议通过</w:t>
      </w:r>
      <w:r w:rsidRPr="00487B3C">
        <w:rPr>
          <w:rFonts w:ascii="楷体_GB2312" w:eastAsia="楷体_GB2312" w:hAnsi="楷体" w:cs="楷体" w:hint="eastAsia"/>
          <w:sz w:val="32"/>
          <w:szCs w:val="32"/>
        </w:rPr>
        <w:t>；2006年9月29日新疆维吾尔自治区第十届人民代表大会常务委员会第二十六次会议批准）</w:t>
      </w:r>
    </w:p>
    <w:p w:rsidR="00A9471F" w:rsidRPr="004C2000" w:rsidRDefault="00A9471F" w:rsidP="00487B3C">
      <w:pPr>
        <w:adjustRightInd w:val="0"/>
        <w:snapToGrid w:val="0"/>
        <w:spacing w:line="580" w:lineRule="atLeast"/>
        <w:ind w:leftChars="300" w:left="630" w:rightChars="300" w:right="630"/>
        <w:rPr>
          <w:rFonts w:ascii="宋体" w:cs="楷体"/>
          <w:sz w:val="32"/>
          <w:szCs w:val="32"/>
        </w:rPr>
      </w:pP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4C2000">
        <w:rPr>
          <w:rFonts w:ascii="仿宋_GB2312" w:eastAsia="仿宋_GB2312" w:hAnsi="仿宋" w:cs="仿宋" w:hint="eastAsia"/>
          <w:sz w:val="32"/>
          <w:szCs w:val="32"/>
        </w:rPr>
        <w:t>为合理开发、利用和保护水资源，实现水资源的可持续利用，根据《中华人民共和国水法》和国务院《取水许可和水资源费征收管理条例》及有关法律、法规，结合本市实际，制定本条例。</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本条例适用于本市行政区域内水资源的开发、利用和保护。</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第三条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市人民政府水行政主管部门负责本市水资源的统一监督管理工作。区</w:t>
      </w:r>
      <w:r w:rsidRPr="004C2000">
        <w:rPr>
          <w:rFonts w:ascii="仿宋_GB2312" w:eastAsia="仿宋_GB2312" w:hAnsi="仿宋" w:cs="仿宋"/>
          <w:sz w:val="32"/>
          <w:szCs w:val="32"/>
        </w:rPr>
        <w:t>(</w:t>
      </w:r>
      <w:r w:rsidRPr="004C2000">
        <w:rPr>
          <w:rFonts w:ascii="仿宋_GB2312" w:eastAsia="仿宋_GB2312" w:hAnsi="仿宋" w:cs="仿宋" w:hint="eastAsia"/>
          <w:sz w:val="32"/>
          <w:szCs w:val="32"/>
        </w:rPr>
        <w:t>县</w:t>
      </w:r>
      <w:r w:rsidRPr="004C2000">
        <w:rPr>
          <w:rFonts w:ascii="仿宋_GB2312" w:eastAsia="仿宋_GB2312" w:hAnsi="仿宋" w:cs="仿宋"/>
          <w:sz w:val="32"/>
          <w:szCs w:val="32"/>
        </w:rPr>
        <w:t>)</w:t>
      </w:r>
      <w:r w:rsidRPr="004C2000">
        <w:rPr>
          <w:rFonts w:ascii="仿宋_GB2312" w:eastAsia="仿宋_GB2312" w:hAnsi="仿宋" w:cs="仿宋" w:hint="eastAsia"/>
          <w:sz w:val="32"/>
          <w:szCs w:val="32"/>
        </w:rPr>
        <w:t>人民政府水行政主管部门负责本辖区内水资源的监督管理工作。</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发展和改革、规划、建设、国土资</w:t>
      </w:r>
      <w:bookmarkStart w:id="0" w:name="_GoBack"/>
      <w:bookmarkEnd w:id="0"/>
      <w:r w:rsidRPr="004C2000">
        <w:rPr>
          <w:rFonts w:ascii="仿宋_GB2312" w:eastAsia="仿宋_GB2312" w:hAnsi="仿宋" w:cs="仿宋" w:hint="eastAsia"/>
          <w:sz w:val="32"/>
          <w:szCs w:val="32"/>
        </w:rPr>
        <w:t>源、环境保护、农牧、市政市容等部门按照职责分工负责本市水资源开发、利用、节约和保护的有关工作。</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第四条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开发、利用和保护水资源，应当坚持全面规划、统</w:t>
      </w:r>
      <w:r w:rsidRPr="004C2000">
        <w:rPr>
          <w:rFonts w:ascii="仿宋_GB2312" w:eastAsia="仿宋_GB2312" w:hAnsi="仿宋" w:cs="仿宋" w:hint="eastAsia"/>
          <w:sz w:val="32"/>
          <w:szCs w:val="32"/>
        </w:rPr>
        <w:lastRenderedPageBreak/>
        <w:t>筹兼顾、标本兼治、综合利用的原则，科学合理开发利用地表水，严格控制开采地下水。</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第五条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市水行政主管部门应会同有关部门编制水资源规划，依法报市人民政府批准。</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第六条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开发利用水资源应符合水资源规划。</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第七条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取用水资源依法实行取水许可和有偿使用制度。</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第八条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开发利用水资源建设项目应当在报送建设项目可行性研究报告时附具经审定的建设项目水资源论证报告，未提交建设项目水资源论证报告，有关部门不得批准立项。</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第九条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开发利用河流、湖泊、水库、渠道，不得污染水体。</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禁止向河流、湖泊、水库、河道、渠道倾倒垃圾、污水、积雪和其他废弃物。</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第十一条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兴建地下工程设施或者进行地下勘探、采矿等活动，应当采取防护措施，防止地下水污染。</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第十二条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禁止利用渗井、坑塘、沟渠排放、倾倒、输送和贮存含有毒污染物质的废水、含病原体的污水和其他废弃物。</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第十三条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市水行政主管部门应当会同有关部门划定地下水限制开采区和禁止开采区，报市人民政府批准，并向社会公布。</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第十四条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地下水限制开采区内应当压缩地下水开采量，逐步达到采补平衡；地下水禁止开采区内不得兴建新的地下水取水工程，已有的取水工程，应当限期封闭。</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第十五条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对可利用地表水的区域或者自来水管网覆盖的</w:t>
      </w:r>
      <w:r w:rsidRPr="004C2000">
        <w:rPr>
          <w:rFonts w:ascii="仿宋_GB2312" w:eastAsia="仿宋_GB2312" w:hAnsi="仿宋" w:cs="仿宋" w:hint="eastAsia"/>
          <w:sz w:val="32"/>
          <w:szCs w:val="32"/>
        </w:rPr>
        <w:lastRenderedPageBreak/>
        <w:t>区域，市人民政府应有计划地减少地下水的取水量，逐步封停布局不合理的水井。</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第十六条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水行政主管部门应当建立和保护水资源监测信息系统。</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第十七条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实施取水许可应当坚持先地表水后地下水，开源与节流相结合、节流优先的原则，实行总量控制与定额管理相结合。</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第十八条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取水许可应当首先满足城乡居民生活用水，并兼顾生态与环境、工业、农业用水的需要。</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第十九条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申请取水的单位和个人，应依法向市水行政主管部门提交取水申请。</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地下水取水申请经市水行政主管部门审核后，报市人民政府审批；地表水取水申请由市水行政主管部门审批。</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第二十一条</w:t>
      </w:r>
      <w:r w:rsidRPr="004C2000">
        <w:rPr>
          <w:rFonts w:ascii="仿宋_GB2312" w:eastAsia="仿宋_GB2312" w:hAnsi="仿宋" w:cs="仿宋"/>
          <w:sz w:val="32"/>
          <w:szCs w:val="32"/>
        </w:rPr>
        <w:t xml:space="preserve">  [JP3]</w:t>
      </w:r>
      <w:r w:rsidRPr="004C2000">
        <w:rPr>
          <w:rFonts w:ascii="仿宋_GB2312" w:eastAsia="仿宋_GB2312" w:hAnsi="仿宋" w:cs="仿宋" w:hint="eastAsia"/>
          <w:sz w:val="32"/>
          <w:szCs w:val="32"/>
        </w:rPr>
        <w:t>取水单位和个人应当依法缴纳水资源费。</w:t>
      </w:r>
      <w:r w:rsidRPr="004C2000">
        <w:rPr>
          <w:rFonts w:ascii="仿宋_GB2312" w:eastAsia="仿宋_GB2312" w:hAnsi="仿宋" w:cs="仿宋"/>
          <w:sz w:val="32"/>
          <w:szCs w:val="32"/>
        </w:rPr>
        <w:t>[JP]</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征收的水资源费应当全额纳入财政预算，专款专用。</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第二十二条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有下列行为之一的，由水行政主管部门依法责令停止违法行为，限期采取补救措施，处二万元以上十万元以下罚款：</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（一）未经批准擅自取水的；</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（二）未依照批准的取水许可规定条件取水的；</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前款第</w:t>
      </w:r>
      <w:r w:rsidRPr="004C2000">
        <w:rPr>
          <w:rFonts w:ascii="仿宋_GB2312" w:eastAsia="仿宋_GB2312" w:hAnsi="仿宋" w:cs="仿宋"/>
          <w:sz w:val="32"/>
          <w:szCs w:val="32"/>
        </w:rPr>
        <w:t>(</w:t>
      </w:r>
      <w:r w:rsidRPr="004C2000">
        <w:rPr>
          <w:rFonts w:ascii="仿宋_GB2312" w:eastAsia="仿宋_GB2312" w:hAnsi="仿宋" w:cs="仿宋" w:hint="eastAsia"/>
          <w:sz w:val="32"/>
          <w:szCs w:val="32"/>
        </w:rPr>
        <w:t>二</w:t>
      </w:r>
      <w:r w:rsidRPr="004C2000">
        <w:rPr>
          <w:rFonts w:ascii="仿宋_GB2312" w:eastAsia="仿宋_GB2312" w:hAnsi="仿宋" w:cs="仿宋"/>
          <w:sz w:val="32"/>
          <w:szCs w:val="32"/>
        </w:rPr>
        <w:t>)</w:t>
      </w:r>
      <w:r w:rsidRPr="004C2000">
        <w:rPr>
          <w:rFonts w:ascii="仿宋_GB2312" w:eastAsia="仿宋_GB2312" w:hAnsi="仿宋" w:cs="仿宋" w:hint="eastAsia"/>
          <w:sz w:val="32"/>
          <w:szCs w:val="32"/>
        </w:rPr>
        <w:t>项情节严重的，吊销其取水许可证。</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lastRenderedPageBreak/>
        <w:t>第二十三条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违反本条例第九、十条规定的，由水行政主管部门予以制止，责令其清除，情节严重阻碍行洪的，处以一万元以上五万元以下罚款；造成水体污染的，提请环境保护行政主管部门依法处理。</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第二十四条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违反本条例第十一、十二条规定的，由水行政主管部门责令停止违法行为；造成水体污染的，提请环境保护行政主管部门依法处理。</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第二十五条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违反本条例规定应当受到行政处罚的其他行为，由有关部门依法予以处罚。</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第二十六条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水行政主管部门及其工作人员，有下列行为之一的，由其所在单位或上级行政主管部门责令改正；情节严重的，对直接负责的主管人员和其他直接责任人员依法给予行政处分；构成犯罪的，依法追究刑事责任：</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（一）对符合法定条件的取水申请不予受理或者不在法定期限内批准的；</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（二）对不符合法定条件的申请人签发取水申请批准文件或者发放取水许可证的：</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（三）违反审批权限签发取水申请批准文件或者发放取水许可证的；</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（四）不按照规定征收水资源费，或者对不符合缓缴条件批准缓缴水资源费的；</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（五）侵占、截留、挪用水资源费的；</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lastRenderedPageBreak/>
        <w:t>（六）其他滥用职权、玩忽职守、徇私舞弊的行为。</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_GB2312" w:eastAsia="仿宋_GB2312" w:hAnsi="仿宋" w:cs="仿宋" w:hint="eastAsia"/>
          <w:sz w:val="32"/>
          <w:szCs w:val="32"/>
        </w:rPr>
        <w:t>前款第</w:t>
      </w:r>
      <w:r w:rsidRPr="004C2000">
        <w:rPr>
          <w:rFonts w:ascii="仿宋_GB2312" w:eastAsia="仿宋_GB2312" w:hAnsi="仿宋" w:cs="仿宋"/>
          <w:sz w:val="32"/>
          <w:szCs w:val="32"/>
        </w:rPr>
        <w:t>(</w:t>
      </w:r>
      <w:r w:rsidRPr="004C2000">
        <w:rPr>
          <w:rFonts w:ascii="仿宋_GB2312" w:eastAsia="仿宋_GB2312" w:hAnsi="仿宋" w:cs="仿宋" w:hint="eastAsia"/>
          <w:sz w:val="32"/>
          <w:szCs w:val="32"/>
        </w:rPr>
        <w:t>五</w:t>
      </w:r>
      <w:r w:rsidRPr="004C2000">
        <w:rPr>
          <w:rFonts w:ascii="仿宋_GB2312" w:eastAsia="仿宋_GB2312" w:hAnsi="仿宋" w:cs="仿宋"/>
          <w:sz w:val="32"/>
          <w:szCs w:val="32"/>
        </w:rPr>
        <w:t>)</w:t>
      </w:r>
      <w:r w:rsidRPr="004C2000">
        <w:rPr>
          <w:rFonts w:ascii="仿宋_GB2312" w:eastAsia="仿宋_GB2312" w:hAnsi="仿宋" w:cs="仿宋" w:hint="eastAsia"/>
          <w:sz w:val="32"/>
          <w:szCs w:val="32"/>
        </w:rPr>
        <w:t>项规定的被侵占、截留、挪用的水资源费，应当依法予以追缴。</w:t>
      </w:r>
    </w:p>
    <w:p w:rsidR="00A9471F" w:rsidRPr="004C2000" w:rsidRDefault="00A9471F" w:rsidP="00487B3C">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第二十七条</w:t>
      </w:r>
      <w:r w:rsidRPr="004C2000">
        <w:rPr>
          <w:rFonts w:ascii="仿宋_GB2312" w:eastAsia="仿宋_GB2312" w:hAnsi="仿宋" w:cs="仿宋"/>
          <w:sz w:val="32"/>
          <w:szCs w:val="32"/>
        </w:rPr>
        <w:t xml:space="preserve">  </w:t>
      </w:r>
      <w:r w:rsidRPr="004C2000">
        <w:rPr>
          <w:rFonts w:ascii="仿宋_GB2312" w:eastAsia="仿宋_GB2312" w:hAnsi="仿宋" w:cs="仿宋" w:hint="eastAsia"/>
          <w:sz w:val="32"/>
          <w:szCs w:val="32"/>
        </w:rPr>
        <w:t>当事人对行政处罚决定不服的，可依法申请行政复议或提起行政诉讼。</w:t>
      </w:r>
    </w:p>
    <w:p w:rsidR="00A9471F" w:rsidRPr="004C2000" w:rsidRDefault="00A9471F" w:rsidP="00AC6588">
      <w:pPr>
        <w:adjustRightInd w:val="0"/>
        <w:snapToGrid w:val="0"/>
        <w:spacing w:line="580" w:lineRule="atLeast"/>
        <w:ind w:firstLineChars="200" w:firstLine="640"/>
        <w:rPr>
          <w:rFonts w:ascii="仿宋_GB2312" w:eastAsia="仿宋_GB2312" w:hAnsi="仿宋" w:cs="仿宋"/>
          <w:sz w:val="32"/>
          <w:szCs w:val="32"/>
        </w:rPr>
      </w:pPr>
      <w:r w:rsidRPr="004C2000">
        <w:rPr>
          <w:rFonts w:ascii="仿宋" w:eastAsia="黑体" w:hAnsi="仿宋" w:cs="仿宋" w:hint="eastAsia"/>
          <w:sz w:val="32"/>
          <w:szCs w:val="32"/>
        </w:rPr>
        <w:t>第二十八条</w:t>
      </w:r>
      <w:r w:rsidR="00487B3C">
        <w:rPr>
          <w:rFonts w:ascii="仿宋_GB2312" w:eastAsia="仿宋_GB2312" w:hAnsi="仿宋" w:cs="仿宋" w:hint="eastAsia"/>
          <w:sz w:val="32"/>
          <w:szCs w:val="32"/>
        </w:rPr>
        <w:t xml:space="preserve">  </w:t>
      </w:r>
      <w:r w:rsidRPr="004C2000">
        <w:rPr>
          <w:rFonts w:ascii="仿宋_GB2312" w:eastAsia="仿宋_GB2312" w:hAnsi="仿宋" w:cs="仿宋" w:hint="eastAsia"/>
          <w:sz w:val="32"/>
          <w:szCs w:val="32"/>
        </w:rPr>
        <w:t>本条例自</w:t>
      </w:r>
      <w:r w:rsidRPr="004C2000">
        <w:rPr>
          <w:rFonts w:ascii="仿宋_GB2312" w:eastAsia="仿宋_GB2312" w:hAnsi="仿宋" w:cs="仿宋"/>
          <w:sz w:val="32"/>
          <w:szCs w:val="32"/>
        </w:rPr>
        <w:t>2006</w:t>
      </w:r>
      <w:r w:rsidRPr="004C2000">
        <w:rPr>
          <w:rFonts w:ascii="仿宋_GB2312" w:eastAsia="仿宋_GB2312" w:hAnsi="仿宋" w:cs="仿宋" w:hint="eastAsia"/>
          <w:sz w:val="32"/>
          <w:szCs w:val="32"/>
        </w:rPr>
        <w:t>年</w:t>
      </w:r>
      <w:r w:rsidRPr="004C2000">
        <w:rPr>
          <w:rFonts w:ascii="仿宋_GB2312" w:eastAsia="仿宋_GB2312" w:hAnsi="仿宋" w:cs="仿宋"/>
          <w:sz w:val="32"/>
          <w:szCs w:val="32"/>
        </w:rPr>
        <w:t>12</w:t>
      </w:r>
      <w:r w:rsidRPr="004C2000">
        <w:rPr>
          <w:rFonts w:ascii="仿宋_GB2312" w:eastAsia="仿宋_GB2312" w:hAnsi="仿宋" w:cs="仿宋" w:hint="eastAsia"/>
          <w:sz w:val="32"/>
          <w:szCs w:val="32"/>
        </w:rPr>
        <w:t>月</w:t>
      </w:r>
      <w:r w:rsidRPr="004C2000">
        <w:rPr>
          <w:rFonts w:ascii="仿宋_GB2312" w:eastAsia="仿宋_GB2312" w:hAnsi="仿宋" w:cs="仿宋"/>
          <w:sz w:val="32"/>
          <w:szCs w:val="32"/>
        </w:rPr>
        <w:t>1</w:t>
      </w:r>
      <w:r w:rsidRPr="004C2000">
        <w:rPr>
          <w:rFonts w:ascii="仿宋_GB2312" w:eastAsia="仿宋_GB2312" w:hAnsi="仿宋" w:cs="仿宋" w:hint="eastAsia"/>
          <w:sz w:val="32"/>
          <w:szCs w:val="32"/>
        </w:rPr>
        <w:t>日起施行。</w:t>
      </w:r>
    </w:p>
    <w:sectPr w:rsidR="00A9471F" w:rsidRPr="004C2000" w:rsidSect="009E263B">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17B" w:rsidRDefault="0086617B" w:rsidP="009E263B">
      <w:r>
        <w:separator/>
      </w:r>
    </w:p>
  </w:endnote>
  <w:endnote w:type="continuationSeparator" w:id="0">
    <w:p w:rsidR="0086617B" w:rsidRDefault="0086617B" w:rsidP="009E26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宋体"/>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71F" w:rsidRDefault="00AC6588">
    <w:pPr>
      <w:pStyle w:val="a3"/>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9471F" w:rsidRDefault="00A9471F" w:rsidP="00487B3C">
                <w:pPr>
                  <w:adjustRightInd w:val="0"/>
                  <w:snapToGrid w:val="0"/>
                  <w:spacing w:line="240" w:lineRule="atLeast"/>
                  <w:ind w:leftChars="200" w:left="420"/>
                  <w:rPr>
                    <w:rFonts w:ascii="宋体" w:cs="宋体"/>
                    <w:sz w:val="28"/>
                    <w:szCs w:val="28"/>
                  </w:rPr>
                </w:pPr>
                <w:r>
                  <w:rPr>
                    <w:rFonts w:ascii="宋体" w:hAnsi="宋体" w:cs="宋体"/>
                    <w:sz w:val="28"/>
                    <w:szCs w:val="28"/>
                  </w:rPr>
                  <w:t xml:space="preserve">— </w:t>
                </w:r>
                <w:r w:rsidR="00AC6588">
                  <w:rPr>
                    <w:rFonts w:ascii="宋体" w:hAnsi="宋体" w:cs="宋体"/>
                    <w:sz w:val="28"/>
                    <w:szCs w:val="28"/>
                  </w:rPr>
                  <w:fldChar w:fldCharType="begin"/>
                </w:r>
                <w:r>
                  <w:rPr>
                    <w:rFonts w:ascii="宋体" w:hAnsi="宋体" w:cs="宋体"/>
                    <w:sz w:val="28"/>
                    <w:szCs w:val="28"/>
                  </w:rPr>
                  <w:instrText xml:space="preserve"> PAGE  \* MERGEFORMAT </w:instrText>
                </w:r>
                <w:r w:rsidR="00AC6588">
                  <w:rPr>
                    <w:rFonts w:ascii="宋体" w:hAnsi="宋体" w:cs="宋体"/>
                    <w:sz w:val="28"/>
                    <w:szCs w:val="28"/>
                  </w:rPr>
                  <w:fldChar w:fldCharType="separate"/>
                </w:r>
                <w:r w:rsidR="00487B3C">
                  <w:rPr>
                    <w:rFonts w:ascii="宋体" w:hAnsi="宋体" w:cs="宋体"/>
                    <w:noProof/>
                    <w:sz w:val="28"/>
                    <w:szCs w:val="28"/>
                  </w:rPr>
                  <w:t>2</w:t>
                </w:r>
                <w:r w:rsidR="00AC6588">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71F" w:rsidRDefault="00AC6588">
    <w:pPr>
      <w:pStyle w:val="a3"/>
    </w:pPr>
    <w:r>
      <w:rPr>
        <w:noProof/>
      </w:rPr>
      <w:pict>
        <v:shapetype id="_x0000_t202" coordsize="21600,21600" o:spt="202" path="m,l,21600r21600,l21600,xe">
          <v:stroke joinstyle="miter"/>
          <v:path gradientshapeok="t" o:connecttype="rect"/>
        </v:shapetype>
        <v:shape id="_x0000_s2050" type="#_x0000_t202" style="position:absolute;margin-left:208pt;margin-top:0;width:2in;height:2in;z-index:1;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9471F" w:rsidRDefault="00A9471F" w:rsidP="00487B3C">
                <w:pPr>
                  <w:adjustRightInd w:val="0"/>
                  <w:snapToGrid w:val="0"/>
                  <w:spacing w:line="240" w:lineRule="atLeast"/>
                  <w:ind w:rightChars="200" w:right="420"/>
                  <w:rPr>
                    <w:sz w:val="28"/>
                    <w:szCs w:val="28"/>
                  </w:rPr>
                </w:pPr>
                <w:r>
                  <w:rPr>
                    <w:rFonts w:ascii="宋体" w:hAnsi="宋体" w:cs="宋体"/>
                    <w:sz w:val="28"/>
                    <w:szCs w:val="28"/>
                  </w:rPr>
                  <w:t xml:space="preserve">— </w:t>
                </w:r>
                <w:r w:rsidR="00AC6588">
                  <w:rPr>
                    <w:rFonts w:ascii="宋体" w:hAnsi="宋体" w:cs="宋体"/>
                    <w:sz w:val="28"/>
                    <w:szCs w:val="28"/>
                  </w:rPr>
                  <w:fldChar w:fldCharType="begin"/>
                </w:r>
                <w:r>
                  <w:rPr>
                    <w:rFonts w:ascii="宋体" w:hAnsi="宋体" w:cs="宋体"/>
                    <w:sz w:val="28"/>
                    <w:szCs w:val="28"/>
                  </w:rPr>
                  <w:instrText xml:space="preserve"> PAGE  \* MERGEFORMAT </w:instrText>
                </w:r>
                <w:r w:rsidR="00AC6588">
                  <w:rPr>
                    <w:rFonts w:ascii="宋体" w:hAnsi="宋体" w:cs="宋体"/>
                    <w:sz w:val="28"/>
                    <w:szCs w:val="28"/>
                  </w:rPr>
                  <w:fldChar w:fldCharType="separate"/>
                </w:r>
                <w:r w:rsidR="00487B3C">
                  <w:rPr>
                    <w:rFonts w:ascii="宋体" w:hAnsi="宋体" w:cs="宋体"/>
                    <w:noProof/>
                    <w:sz w:val="28"/>
                    <w:szCs w:val="28"/>
                  </w:rPr>
                  <w:t>1</w:t>
                </w:r>
                <w:r w:rsidR="00AC6588">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17B" w:rsidRDefault="0086617B" w:rsidP="009E263B">
      <w:r>
        <w:separator/>
      </w:r>
    </w:p>
  </w:footnote>
  <w:footnote w:type="continuationSeparator" w:id="0">
    <w:p w:rsidR="0086617B" w:rsidRDefault="0086617B" w:rsidP="009E26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oNotTrackMoves/>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6FD3D60"/>
    <w:rsid w:val="00086469"/>
    <w:rsid w:val="001B373C"/>
    <w:rsid w:val="00487B3C"/>
    <w:rsid w:val="004C2000"/>
    <w:rsid w:val="0086617B"/>
    <w:rsid w:val="009E263B"/>
    <w:rsid w:val="00A9471F"/>
    <w:rsid w:val="00AC6588"/>
    <w:rsid w:val="05097AD0"/>
    <w:rsid w:val="06FD3D6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63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E263B"/>
    <w:pPr>
      <w:tabs>
        <w:tab w:val="center" w:pos="4153"/>
        <w:tab w:val="right" w:pos="8306"/>
      </w:tabs>
      <w:snapToGrid w:val="0"/>
      <w:jc w:val="left"/>
    </w:pPr>
    <w:rPr>
      <w:sz w:val="18"/>
    </w:rPr>
  </w:style>
  <w:style w:type="character" w:customStyle="1" w:styleId="Char">
    <w:name w:val="页脚 Char"/>
    <w:basedOn w:val="a0"/>
    <w:link w:val="a3"/>
    <w:uiPriority w:val="99"/>
    <w:semiHidden/>
    <w:rsid w:val="009C121F"/>
    <w:rPr>
      <w:sz w:val="18"/>
      <w:szCs w:val="18"/>
    </w:rPr>
  </w:style>
  <w:style w:type="paragraph" w:styleId="a4">
    <w:name w:val="header"/>
    <w:basedOn w:val="a"/>
    <w:link w:val="Char0"/>
    <w:uiPriority w:val="99"/>
    <w:rsid w:val="009E26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semiHidden/>
    <w:rsid w:val="009C12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法规文本.dotx</Template>
  <TotalTime>7</TotalTime>
  <Pages>5</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2017-02-17T01:17:00Z</dcterms:created>
  <dcterms:modified xsi:type="dcterms:W3CDTF">2017-08-03T03:39:00Z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