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31C" w:rsidRDefault="00FD031C">
      <w:pPr>
        <w:spacing w:line="560" w:lineRule="exact"/>
        <w:rPr>
          <w:rFonts w:ascii="方正小标宋_GBK" w:eastAsia="方正小标宋_GBK"/>
          <w:sz w:val="44"/>
          <w:szCs w:val="44"/>
        </w:rPr>
      </w:pPr>
    </w:p>
    <w:p w:rsidR="00BF64B7" w:rsidRDefault="00BF64B7">
      <w:pPr>
        <w:spacing w:line="560" w:lineRule="exact"/>
        <w:jc w:val="center"/>
        <w:rPr>
          <w:rFonts w:ascii="宋体" w:hAnsi="宋体" w:cs="宋体" w:hint="eastAsia"/>
          <w:sz w:val="32"/>
          <w:szCs w:val="32"/>
        </w:rPr>
      </w:pPr>
    </w:p>
    <w:p w:rsidR="00FD031C" w:rsidRPr="00BF64B7" w:rsidRDefault="00664F62" w:rsidP="00BF64B7">
      <w:pPr>
        <w:spacing w:line="560" w:lineRule="exact"/>
        <w:jc w:val="center"/>
        <w:rPr>
          <w:rFonts w:ascii="宋体" w:hAnsi="宋体" w:cs="宋体"/>
          <w:sz w:val="44"/>
          <w:szCs w:val="44"/>
        </w:rPr>
      </w:pPr>
      <w:r w:rsidRPr="00BF64B7">
        <w:rPr>
          <w:rFonts w:ascii="宋体" w:hAnsi="宋体" w:cs="宋体" w:hint="eastAsia"/>
          <w:sz w:val="44"/>
          <w:szCs w:val="44"/>
        </w:rPr>
        <w:t>乌鲁木齐市湿地保护条例</w:t>
      </w:r>
    </w:p>
    <w:p w:rsidR="00FD031C" w:rsidRDefault="00FD031C" w:rsidP="00BF64B7">
      <w:pPr>
        <w:adjustRightInd w:val="0"/>
        <w:snapToGrid w:val="0"/>
        <w:spacing w:line="580" w:lineRule="atLeast"/>
        <w:ind w:rightChars="300" w:right="630"/>
        <w:rPr>
          <w:rFonts w:ascii="楷体" w:eastAsia="楷体" w:hAnsi="楷体" w:cs="楷体"/>
          <w:sz w:val="32"/>
          <w:szCs w:val="32"/>
        </w:rPr>
      </w:pPr>
    </w:p>
    <w:p w:rsidR="00FD031C" w:rsidRDefault="00664F62">
      <w:pPr>
        <w:adjustRightInd w:val="0"/>
        <w:snapToGrid w:val="0"/>
        <w:spacing w:line="580" w:lineRule="atLeast"/>
        <w:ind w:leftChars="300" w:left="630" w:rightChars="300" w:right="63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日乌鲁木齐市第十五届人民代表大会常务委员会第二十九次会议通过；</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日新疆维吾尔自治区第十二届人民代表大会常务委员会第二十二次会议批准</w:t>
      </w:r>
      <w:r>
        <w:rPr>
          <w:rFonts w:ascii="楷体_GB2312" w:eastAsia="楷体_GB2312" w:hAnsi="楷体_GB2312" w:cs="楷体_GB2312" w:hint="eastAsia"/>
          <w:sz w:val="32"/>
          <w:szCs w:val="32"/>
        </w:rPr>
        <w:t>）</w:t>
      </w:r>
    </w:p>
    <w:bookmarkEnd w:id="0"/>
    <w:p w:rsidR="00FD031C" w:rsidRDefault="00FD031C">
      <w:pPr>
        <w:widowControl/>
        <w:spacing w:line="520" w:lineRule="exact"/>
        <w:rPr>
          <w:rFonts w:ascii="楷体_GB2312" w:eastAsia="黑体"/>
          <w:sz w:val="32"/>
          <w:szCs w:val="32"/>
        </w:rPr>
      </w:pPr>
    </w:p>
    <w:p w:rsidR="00FD031C" w:rsidRDefault="00664F62">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FD031C" w:rsidRDefault="00FD031C">
      <w:pPr>
        <w:spacing w:line="500" w:lineRule="exact"/>
        <w:rPr>
          <w:rFonts w:ascii="宋体" w:eastAsia="黑体" w:hAnsi="宋体" w:cs="宋体"/>
          <w:sz w:val="32"/>
          <w:szCs w:val="32"/>
        </w:rPr>
      </w:pPr>
    </w:p>
    <w:p w:rsidR="00FD031C" w:rsidRDefault="00664F62">
      <w:pPr>
        <w:spacing w:line="60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宋体" w:hAnsi="宋体" w:cs="宋体" w:hint="eastAsia"/>
          <w:sz w:val="32"/>
          <w:szCs w:val="32"/>
        </w:rPr>
        <w:t xml:space="preserve">  </w:t>
      </w:r>
      <w:r>
        <w:rPr>
          <w:rFonts w:ascii="仿宋_GB2312" w:eastAsia="仿宋_GB2312" w:hAnsi="仿宋_GB2312" w:cs="仿宋_GB2312" w:hint="eastAsia"/>
          <w:sz w:val="32"/>
          <w:szCs w:val="32"/>
        </w:rPr>
        <w:t>为了加强湿地保护，恢复和发挥湿地生态功能，促进湿地资源的可持续利用，根据《新疆维吾尔自治区湿地保护条例》等有关法律、法规，结合本市实际，制定本条例。</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本市行政区域内湿地的规划、保护、利用和监督管理等活动，适用本条例。</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本条例所称湿地，是指具有重要生态功能的天然或者人工的、常年或者季节性的沼泽地、泥炭地、盐泽地、滩涂、高山和冻原草甸或者水域地带。</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湿地保护应当遵循科学规划、保护优先、合理利用、持续发展的原则。</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市、区（县）人民政府应当加强对湿地保护工作的</w:t>
      </w:r>
      <w:r>
        <w:rPr>
          <w:rFonts w:ascii="仿宋_GB2312" w:eastAsia="仿宋_GB2312" w:hAnsi="仿宋_GB2312" w:cs="仿宋_GB2312" w:hint="eastAsia"/>
          <w:sz w:val="32"/>
          <w:szCs w:val="32"/>
        </w:rPr>
        <w:lastRenderedPageBreak/>
        <w:t>领导，依法编制湿地保护规划，将其纳入国民经济和社会发展规划；建立和完善生态保护机制，设立湿地保护专项经费，并将经费列入本级政府财政预算。</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市林业行政主管部门负责本市湿地保护的统一监督管理工作。</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区（县）林业行政主管部门负责本行政区域内湿地保护的</w:t>
      </w:r>
      <w:r>
        <w:rPr>
          <w:rFonts w:ascii="仿宋_GB2312" w:eastAsia="仿宋_GB2312" w:hAnsi="仿宋_GB2312" w:cs="仿宋_GB2312" w:hint="eastAsia"/>
          <w:sz w:val="32"/>
          <w:szCs w:val="32"/>
        </w:rPr>
        <w:t>日常管理工作。</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发展和改革、住房与城乡建设、城乡规划、国土资源、水务、农牧、环保、财政等部门应在各自职责范围内，协同做好湿地保护的相关工作。</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乡镇人民政府、片区管委会（街道办事处）和社区工作委员会（居民委员会）、村民委员会应当配合有关部门做好湿地保护的相关工作。</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各级人民政府及有关部门应当开展湿地保护宣传教育活动，提高公民湿地保护意识，支持相关科研机构、高等院校等开展湿地保护恢复与利用的科学技术研究，推广湿地保护先进技术，开展湿地保护交流与合作。</w:t>
      </w:r>
    </w:p>
    <w:p w:rsidR="00FD031C" w:rsidRDefault="00FD031C">
      <w:pPr>
        <w:spacing w:line="600" w:lineRule="exact"/>
        <w:rPr>
          <w:rFonts w:ascii="仿宋_GB2312" w:eastAsia="黑体" w:hAnsi="仿宋_GB2312" w:cs="仿宋_GB2312"/>
          <w:sz w:val="32"/>
          <w:szCs w:val="32"/>
        </w:rPr>
      </w:pPr>
    </w:p>
    <w:p w:rsidR="00FD031C" w:rsidRDefault="00664F62">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湿地保护</w:t>
      </w:r>
    </w:p>
    <w:p w:rsidR="00FD031C" w:rsidRDefault="00FD031C">
      <w:pPr>
        <w:spacing w:line="600" w:lineRule="exact"/>
        <w:rPr>
          <w:rFonts w:ascii="仿宋_GB2312" w:eastAsia="黑体" w:hAnsi="仿宋_GB2312" w:cs="仿宋_GB2312"/>
          <w:sz w:val="32"/>
          <w:szCs w:val="32"/>
        </w:rPr>
      </w:pP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本市湿地应当划定生态保护红线予以保护，生态保</w:t>
      </w:r>
      <w:r>
        <w:rPr>
          <w:rFonts w:ascii="仿宋_GB2312" w:eastAsia="仿宋_GB2312" w:hAnsi="仿宋_GB2312" w:cs="仿宋_GB2312" w:hint="eastAsia"/>
          <w:sz w:val="32"/>
          <w:szCs w:val="32"/>
        </w:rPr>
        <w:lastRenderedPageBreak/>
        <w:t>护红线范围内的天然湿地实行严格的水资源管理制度，禁止抽采排放湿地蓄水或者截断湿地水源，确保湿地面积不减少，性质、功能不改变。</w:t>
      </w:r>
    </w:p>
    <w:p w:rsidR="00FD031C" w:rsidRDefault="00664F62">
      <w:pPr>
        <w:spacing w:line="600" w:lineRule="exact"/>
        <w:ind w:firstLineChars="200" w:firstLine="640"/>
        <w:rPr>
          <w:rFonts w:ascii="仿宋_GB2312" w:eastAsia="黑体" w:hAnsi="仿宋_GB2312" w:cs="仿宋_GB2312"/>
          <w:sz w:val="32"/>
          <w:szCs w:val="32"/>
          <w:shd w:val="pct10" w:color="auto" w:fill="FFFFFF"/>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应当成立由有关部门和专家、学者组成的湿地保护专家委员会，负责对编制湿地保护规划、拟定湿地保护名录、划定湿地生态保护红线、制定湿地生态保护方案、评估湿地资源以及湿地保护等有关活动提供技术咨询和评审意见。湿地保护专家委员会的意见应当作为决定湿地保护重要事项的参考。</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市林业行政主管部门应确立湿地名称，制定湿地保护名录</w:t>
      </w:r>
      <w:r>
        <w:rPr>
          <w:rFonts w:ascii="仿宋_GB2312" w:eastAsia="仿宋_GB2312" w:hAnsi="仿宋_GB2312" w:cs="仿宋_GB2312" w:hint="eastAsia"/>
          <w:sz w:val="32"/>
          <w:szCs w:val="32"/>
        </w:rPr>
        <w:t>和生态保护红线范围方案，经湿地保护专家委员会论证后报市人民政府批准，并向社会公布。</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市林业行政主管部门应建立湿地保护界标，载明湿地类型、重要程度等内容。</w:t>
      </w:r>
      <w:r>
        <w:rPr>
          <w:rFonts w:ascii="仿宋_GB2312" w:eastAsia="仿宋_GB2312" w:hAnsi="仿宋_GB2312" w:cs="仿宋_GB2312" w:hint="eastAsia"/>
          <w:sz w:val="32"/>
          <w:szCs w:val="32"/>
        </w:rPr>
        <w:t xml:space="preserve"> </w:t>
      </w:r>
    </w:p>
    <w:p w:rsidR="00FD031C" w:rsidRDefault="00664F62">
      <w:pPr>
        <w:spacing w:line="600" w:lineRule="exact"/>
        <w:ind w:firstLineChars="200" w:firstLine="640"/>
        <w:rPr>
          <w:rFonts w:ascii="仿宋_GB2312" w:eastAsia="黑体" w:hAnsi="仿宋_GB2312" w:cs="仿宋_GB2312"/>
          <w:sz w:val="32"/>
          <w:szCs w:val="32"/>
          <w:shd w:val="pct10" w:color="auto" w:fill="FFFFFF"/>
        </w:rPr>
      </w:pPr>
      <w:r>
        <w:rPr>
          <w:rFonts w:ascii="仿宋_GB2312" w:eastAsia="仿宋_GB2312" w:hAnsi="仿宋_GB2312" w:cs="仿宋_GB2312" w:hint="eastAsia"/>
          <w:sz w:val="32"/>
          <w:szCs w:val="32"/>
        </w:rPr>
        <w:t>任何单位和个人不得破坏或者擅自移动湿地保护界标。</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区（县）人民政府应当按照湿地保护规划，采取有效措施保护湿地的水质、土壤、野生动植物，维护湿地生态功能。对自然退化和遭到破坏的湿地，应当通过补水、退耕、轮牧、退牧、禁牧、引水治沙、种草、水生动植物恢复、水体交换、减少污染源等措施进行科学修复。</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市、区（县）人民政府及有关行政主管部门在发</w:t>
      </w:r>
      <w:r>
        <w:rPr>
          <w:rFonts w:ascii="仿宋_GB2312" w:eastAsia="仿宋_GB2312" w:hAnsi="仿宋_GB2312" w:cs="仿宋_GB2312" w:hint="eastAsia"/>
          <w:sz w:val="32"/>
          <w:szCs w:val="32"/>
        </w:rPr>
        <w:lastRenderedPageBreak/>
        <w:t>放土地所有权证、土地使用权证、农村土地承包经营权证、草原使用权证、草原承包经营权证、林权证、渔业养殖证时，含有湿地的，应当注明湿地面积、四至范围以及其他需要注明的内容。</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实行湿地生态效益补偿制度。因湿地保护实施退耕、退牧、退林等使承包经营权人合法权益遭受损失的，区（县）人民政府应当按照有关规定合理补偿，在对承包经营权人进行合理补偿后，有关部门依法收回承包经营权证。</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因国家和自治区重点建设工程、基础设施建设，以及重点公益性项目建设，确需</w:t>
      </w:r>
      <w:r>
        <w:rPr>
          <w:rFonts w:ascii="仿宋_GB2312" w:eastAsia="仿宋_GB2312" w:hAnsi="仿宋_GB2312" w:cs="仿宋_GB2312" w:hint="eastAsia"/>
          <w:sz w:val="32"/>
          <w:szCs w:val="32"/>
        </w:rPr>
        <w:t>占用湿地的，建设单位应当提出申请，并制定湿地生态保护方案，经区（县）林业行政主管部门初审，</w:t>
      </w:r>
      <w:r>
        <w:rPr>
          <w:rFonts w:ascii="仿宋_GB2312" w:eastAsia="仿宋_GB2312" w:hAnsi="仿宋_GB2312" w:cs="仿宋_GB2312" w:hint="eastAsia"/>
          <w:sz w:val="32"/>
          <w:szCs w:val="32"/>
        </w:rPr>
        <w:t>报市林业行政主管部门审核，经市人民政府批准后，建设单位方可依法办理用地和其他行政许可手续，并依法给予补偿</w:t>
      </w:r>
      <w:r>
        <w:rPr>
          <w:rFonts w:ascii="仿宋_GB2312" w:eastAsia="仿宋_GB2312" w:hAnsi="仿宋_GB2312" w:cs="仿宋_GB2312" w:hint="eastAsia"/>
          <w:sz w:val="32"/>
          <w:szCs w:val="32"/>
        </w:rPr>
        <w:t>。</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湿地生态保护方案应当包括建设项目、范围、期限、保护措施、恢复义务等内容。</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具备自然保护区、湿地公园设立条件的湿地，应当按照有关规定进行申报；不具备建立自然保护区、湿地公园条件的湿地，经市人民政府批准可以建立湿地保护小区、野生动植物栖息地或者湿地多用途管理区。</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因气候变化、自然灾害等造成湿地</w:t>
      </w:r>
      <w:r>
        <w:rPr>
          <w:rFonts w:ascii="仿宋_GB2312" w:eastAsia="仿宋_GB2312" w:hAnsi="仿宋_GB2312" w:cs="仿宋_GB2312" w:hint="eastAsia"/>
          <w:sz w:val="32"/>
          <w:szCs w:val="32"/>
        </w:rPr>
        <w:t>生态特征退化的，林业行政主管部门应会同有关部门进行调查，根据调查结果制定补救方案并予以实施。</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因工程建设等造成湿地生态特征退化甚至消失的，市、区（县）人民政府对退化或消失的湿地应限期予以恢复；对逾期不予恢复或者确实无法恢复的，由市、区（县）人民政府按照有关规定处理。</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禁止在湿地内实施下列行为：</w:t>
      </w:r>
      <w:r>
        <w:rPr>
          <w:rFonts w:ascii="仿宋_GB2312" w:eastAsia="仿宋_GB2312" w:hAnsi="仿宋_GB2312" w:cs="仿宋_GB2312" w:hint="eastAsia"/>
          <w:sz w:val="32"/>
          <w:szCs w:val="32"/>
        </w:rPr>
        <w:t xml:space="preserve"> </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（一）开垦、围垦、填埋；</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（二）擅自挖塘、取土、筑坝、爆破、放牧、烧荒、采矿；</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（三）擅自砍伐林木、猎捕野生动物、采集野生植物、捡拾鸟卵；</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（四）破坏鱼类等水生生物洄游通道和野生动物的重要繁殖</w:t>
      </w:r>
      <w:r>
        <w:rPr>
          <w:rFonts w:ascii="仿宋_GB2312" w:eastAsia="仿宋_GB2312" w:hAnsi="仿宋_GB2312" w:cs="仿宋_GB2312" w:hint="eastAsia"/>
          <w:sz w:val="32"/>
          <w:szCs w:val="32"/>
        </w:rPr>
        <w:t>区及栖息地；</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（五）采用灭绝性方式捕捞鱼类及其他水生生物；</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（六）投放有毒有害物质、倾倒固体废弃物、超标排放污水；</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（七）投放可能危害水体、水生生物的化学物品；</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（八）法律、法规禁止的其他破坏湿地的行为。</w:t>
      </w:r>
    </w:p>
    <w:p w:rsidR="00FD031C" w:rsidRDefault="00FD031C">
      <w:pPr>
        <w:spacing w:line="600" w:lineRule="exact"/>
        <w:ind w:firstLineChars="200" w:firstLine="640"/>
        <w:rPr>
          <w:rFonts w:ascii="仿宋_GB2312" w:eastAsia="黑体" w:hAnsi="仿宋_GB2312" w:cs="仿宋_GB2312"/>
          <w:sz w:val="32"/>
          <w:szCs w:val="32"/>
        </w:rPr>
      </w:pPr>
    </w:p>
    <w:p w:rsidR="00FD031C" w:rsidRDefault="00664F62">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监督管理</w:t>
      </w:r>
    </w:p>
    <w:p w:rsidR="00FD031C" w:rsidRDefault="00FD031C">
      <w:pPr>
        <w:spacing w:line="600" w:lineRule="exact"/>
        <w:rPr>
          <w:rFonts w:ascii="仿宋_GB2312" w:eastAsia="黑体" w:hAnsi="仿宋_GB2312" w:cs="仿宋_GB2312"/>
          <w:sz w:val="32"/>
          <w:szCs w:val="32"/>
        </w:rPr>
      </w:pP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本市实行湿地保护目标责任制，市人民政府应当建立和完善湿地保护工作综合考核制度，并定期对区（县）人民政府和有关部门湿地保护目标完成情况进行考核。</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市林业行政主管部门应当建立湿地管理信息系统，会同国土、水务等部门每五年开展一次湿地资源调查，如实记录结果，并编制湿</w:t>
      </w:r>
      <w:r>
        <w:rPr>
          <w:rFonts w:ascii="仿宋_GB2312" w:eastAsia="仿宋_GB2312" w:hAnsi="仿宋_GB2312" w:cs="仿宋_GB2312" w:hint="eastAsia"/>
          <w:sz w:val="32"/>
          <w:szCs w:val="32"/>
        </w:rPr>
        <w:t>地生态系统评价报告。湿地生态系统评价报告应当包括湿地基础资料、湿地生态系统质量评价、湿地生态系统保护和修复建议等内容。</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业行政主管部门应当会同水务行政主管部门建立健全湿地资源监测体系和湿地生态补水协调机制，实行信息共享制度，根据保护湿地功能需要，通过工程和技术措施定期或者有计划补水，保障湿地生态用水需求，维护湿地生态功能和生物多样性。</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市林业行政主管部门应及时将湿地资源和湿地利用状况报告本级人民政府和上一级林业行政主管部门。</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业行政主管部门应当对湿地保护规划执行情况和湿地保护工作进行监督检查，对湿地所在地乡镇人民政府、片区管委会（街道办事处）的湿地保护工作进行指导、监督，落实湿地保护规划的目标和任务，及时纠正和处理违法行为。</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市林业行政主管部门和湿地保护管理机构应当做好对区（县）林业主管部门、乡镇人民政府、片区管委会（街道办事处）有关湿地保护的宣传教育和培训工作。</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区（县）林业行政主管部门、乡镇人民政府、片区管委会（街道办事处）、社区工作委员会（居民委员会）、村民委员会应定期</w:t>
      </w:r>
      <w:r>
        <w:rPr>
          <w:rFonts w:ascii="仿宋_GB2312" w:eastAsia="仿宋_GB2312" w:hAnsi="仿宋_GB2312" w:cs="仿宋_GB2312" w:hint="eastAsia"/>
          <w:sz w:val="32"/>
          <w:szCs w:val="32"/>
        </w:rPr>
        <w:lastRenderedPageBreak/>
        <w:t>开展湿地保护宣传教育，提高公众湿地</w:t>
      </w:r>
      <w:r>
        <w:rPr>
          <w:rFonts w:ascii="仿宋_GB2312" w:eastAsia="仿宋_GB2312" w:hAnsi="仿宋_GB2312" w:cs="仿宋_GB2312" w:hint="eastAsia"/>
          <w:sz w:val="32"/>
          <w:szCs w:val="32"/>
        </w:rPr>
        <w:t>保护意识。</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湿地所在地乡镇人民政府、片区管委会（街道办事处）应当建立巡查制度，对本辖区内湿地保护情况进行日常监督检查，协助林业行政主管部门查处湿地违法行为。</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社区工作委员会（居民委员会）、村民委员会发现违反本条例行为的，应向林业行政主管部门报告。</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公民、法人和其他组织都有保护湿地的义务，对破坏、侵占湿地的行为，应向区（县）、乡镇人民政府、片区管委会（街道办事处）和林业行政主管部门举报。</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有关部门接到举报后，应对举报信息进行登记，并在当日予以调查确认，未造成湿地破坏的，对当事人予以</w:t>
      </w:r>
      <w:r>
        <w:rPr>
          <w:rFonts w:ascii="仿宋_GB2312" w:eastAsia="仿宋_GB2312" w:hAnsi="仿宋_GB2312" w:cs="仿宋_GB2312" w:hint="eastAsia"/>
          <w:sz w:val="32"/>
          <w:szCs w:val="32"/>
        </w:rPr>
        <w:t>告诫；对违反本条例行为并造成湿地破坏的按有关规定处理。</w:t>
      </w:r>
    </w:p>
    <w:p w:rsidR="00FD031C" w:rsidRDefault="00FD031C">
      <w:pPr>
        <w:spacing w:line="600" w:lineRule="exact"/>
        <w:rPr>
          <w:rFonts w:ascii="仿宋_GB2312" w:eastAsia="黑体" w:hAnsi="仿宋_GB2312" w:cs="仿宋_GB2312"/>
          <w:sz w:val="32"/>
          <w:szCs w:val="32"/>
        </w:rPr>
      </w:pPr>
    </w:p>
    <w:p w:rsidR="00FD031C" w:rsidRDefault="00664F62">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FD031C" w:rsidRDefault="00FD031C">
      <w:pPr>
        <w:spacing w:line="600" w:lineRule="exact"/>
        <w:rPr>
          <w:rFonts w:ascii="仿宋_GB2312" w:eastAsia="黑体" w:hAnsi="仿宋_GB2312" w:cs="仿宋_GB2312"/>
          <w:sz w:val="32"/>
          <w:szCs w:val="32"/>
        </w:rPr>
      </w:pP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违反本条例规定，在湿地内擅自筑坝、爆破、放牧、烧荒的，由林业行政主管部门责令限期改正，恢复原状，处五千元以上二万元以下罚款；情节严重的，处二万元以上五万元以下罚款。</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违反本条例规定，未经批准擅自征占用、开发利用湿地或者改变湿地的性质、功能的，由林业行政主管部门责</w:t>
      </w:r>
      <w:r>
        <w:rPr>
          <w:rFonts w:ascii="仿宋_GB2312" w:eastAsia="仿宋_GB2312" w:hAnsi="仿宋_GB2312" w:cs="仿宋_GB2312" w:hint="eastAsia"/>
          <w:sz w:val="32"/>
          <w:szCs w:val="32"/>
        </w:rPr>
        <w:lastRenderedPageBreak/>
        <w:t>令限期改正，恢复原状，处五千元以上二万元以下罚款；情节严重的，处二万元以上五万元以下罚款。</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违反本条例规定，未按照湿地生态保护方</w:t>
      </w:r>
      <w:r>
        <w:rPr>
          <w:rFonts w:ascii="仿宋_GB2312" w:eastAsia="仿宋_GB2312" w:hAnsi="仿宋_GB2312" w:cs="仿宋_GB2312" w:hint="eastAsia"/>
          <w:sz w:val="32"/>
          <w:szCs w:val="32"/>
        </w:rPr>
        <w:t>案采取保护措施、履行恢复义务的，由林业行政主管部门会同有关部门责令限期改正；逾期未改正的，责令停产停业。造成湿地资源破坏的，责令限期恢复，并处以恢复湿地所需费用二倍以上五倍以下的罚款。</w:t>
      </w:r>
    </w:p>
    <w:p w:rsidR="00FD031C" w:rsidRDefault="00664F62">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林业行政主管部门和有关行政主管部门及其工作人员不依法履行湿地保护管理职责，玩忽职守、徇私舞弊、滥用职权的，由有关部门依法给予行政处分；构成犯罪的，依法追究刑事责任。</w:t>
      </w: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违反本条例规定的行为，相关法律、法规已有处罚规定的，从其规定。</w:t>
      </w:r>
    </w:p>
    <w:p w:rsidR="00FD031C" w:rsidRDefault="00FD031C">
      <w:pPr>
        <w:spacing w:line="600" w:lineRule="exact"/>
        <w:ind w:firstLineChars="200" w:firstLine="640"/>
        <w:rPr>
          <w:rFonts w:ascii="仿宋_GB2312" w:eastAsia="黑体" w:hAnsi="仿宋_GB2312" w:cs="仿宋_GB2312"/>
          <w:sz w:val="32"/>
          <w:szCs w:val="32"/>
        </w:rPr>
      </w:pPr>
    </w:p>
    <w:p w:rsidR="00FD031C" w:rsidRDefault="00664F62">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附则</w:t>
      </w:r>
    </w:p>
    <w:p w:rsidR="00FD031C" w:rsidRDefault="00FD031C">
      <w:pPr>
        <w:spacing w:line="600" w:lineRule="exact"/>
        <w:ind w:firstLineChars="200" w:firstLine="640"/>
        <w:rPr>
          <w:rFonts w:ascii="仿宋_GB2312" w:eastAsia="黑体" w:hAnsi="仿宋_GB2312" w:cs="仿宋_GB2312"/>
          <w:sz w:val="32"/>
          <w:szCs w:val="32"/>
        </w:rPr>
      </w:pPr>
    </w:p>
    <w:p w:rsidR="00FD031C" w:rsidRDefault="00664F62">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FD031C" w:rsidRDefault="00FD031C">
      <w:pPr>
        <w:rPr>
          <w:rFonts w:ascii="宋体" w:hAnsi="宋体" w:cs="宋体"/>
          <w:sz w:val="32"/>
          <w:szCs w:val="32"/>
        </w:rPr>
      </w:pPr>
    </w:p>
    <w:p w:rsidR="00FD031C" w:rsidRDefault="00FD031C">
      <w:pPr>
        <w:ind w:firstLineChars="200" w:firstLine="640"/>
        <w:jc w:val="right"/>
        <w:rPr>
          <w:rFonts w:ascii="仿宋_GB2312" w:eastAsia="仿宋_GB2312"/>
          <w:sz w:val="32"/>
          <w:szCs w:val="32"/>
        </w:rPr>
      </w:pPr>
    </w:p>
    <w:p w:rsidR="00FD031C" w:rsidRDefault="00FD031C">
      <w:pPr>
        <w:ind w:firstLineChars="200" w:firstLine="640"/>
        <w:jc w:val="right"/>
        <w:rPr>
          <w:rFonts w:ascii="仿宋_GB2312" w:eastAsia="仿宋_GB2312"/>
          <w:sz w:val="32"/>
          <w:szCs w:val="32"/>
        </w:rPr>
      </w:pPr>
    </w:p>
    <w:p w:rsidR="00FD031C" w:rsidRDefault="00FD031C">
      <w:pPr>
        <w:ind w:firstLineChars="200" w:firstLine="640"/>
        <w:jc w:val="right"/>
        <w:rPr>
          <w:rFonts w:ascii="仿宋_GB2312" w:eastAsia="仿宋_GB2312"/>
          <w:sz w:val="32"/>
          <w:szCs w:val="32"/>
        </w:rPr>
      </w:pPr>
    </w:p>
    <w:p w:rsidR="00FD031C" w:rsidRDefault="00FD031C">
      <w:pPr>
        <w:adjustRightInd w:val="0"/>
        <w:snapToGrid w:val="0"/>
        <w:spacing w:line="580" w:lineRule="atLeast"/>
        <w:ind w:firstLineChars="200" w:firstLine="640"/>
        <w:rPr>
          <w:rFonts w:asciiTheme="minorEastAsia" w:eastAsiaTheme="minorEastAsia" w:hAnsiTheme="minorEastAsia" w:cstheme="minorEastAsia"/>
          <w:sz w:val="32"/>
          <w:szCs w:val="32"/>
        </w:rPr>
      </w:pPr>
    </w:p>
    <w:sectPr w:rsidR="00FD031C" w:rsidSect="00FD031C">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F62" w:rsidRDefault="00664F62" w:rsidP="00FD031C">
      <w:r>
        <w:separator/>
      </w:r>
    </w:p>
  </w:endnote>
  <w:endnote w:type="continuationSeparator" w:id="0">
    <w:p w:rsidR="00664F62" w:rsidRDefault="00664F62" w:rsidP="00FD03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31C" w:rsidRDefault="00FD031C">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D031C" w:rsidRDefault="00664F6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FD031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D031C">
                  <w:rPr>
                    <w:rFonts w:ascii="宋体" w:hAnsi="宋体" w:cs="宋体" w:hint="eastAsia"/>
                    <w:sz w:val="28"/>
                    <w:szCs w:val="28"/>
                  </w:rPr>
                  <w:fldChar w:fldCharType="separate"/>
                </w:r>
                <w:r w:rsidR="00BF64B7">
                  <w:rPr>
                    <w:rFonts w:ascii="宋体" w:hAnsi="宋体" w:cs="宋体"/>
                    <w:noProof/>
                    <w:sz w:val="28"/>
                    <w:szCs w:val="28"/>
                  </w:rPr>
                  <w:t>8</w:t>
                </w:r>
                <w:r w:rsidR="00FD031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31C" w:rsidRDefault="00FD031C">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D031C" w:rsidRDefault="00664F62">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FD031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D031C">
                  <w:rPr>
                    <w:rFonts w:ascii="宋体" w:hAnsi="宋体" w:cs="宋体" w:hint="eastAsia"/>
                    <w:sz w:val="28"/>
                    <w:szCs w:val="28"/>
                  </w:rPr>
                  <w:fldChar w:fldCharType="separate"/>
                </w:r>
                <w:r w:rsidR="00BF64B7">
                  <w:rPr>
                    <w:rFonts w:ascii="宋体" w:hAnsi="宋体" w:cs="宋体"/>
                    <w:noProof/>
                    <w:sz w:val="28"/>
                    <w:szCs w:val="28"/>
                  </w:rPr>
                  <w:t>1</w:t>
                </w:r>
                <w:r w:rsidR="00FD031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F62" w:rsidRDefault="00664F62" w:rsidP="00FD031C">
      <w:r>
        <w:separator/>
      </w:r>
    </w:p>
  </w:footnote>
  <w:footnote w:type="continuationSeparator" w:id="0">
    <w:p w:rsidR="00664F62" w:rsidRDefault="00664F62" w:rsidP="00FD03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804067E"/>
    <w:rsid w:val="00664F62"/>
    <w:rsid w:val="00BF64B7"/>
    <w:rsid w:val="00FD031C"/>
    <w:rsid w:val="05097AD0"/>
    <w:rsid w:val="05124BC5"/>
    <w:rsid w:val="10B63C0C"/>
    <w:rsid w:val="166E52DE"/>
    <w:rsid w:val="280A3758"/>
    <w:rsid w:val="31DD71E5"/>
    <w:rsid w:val="44611165"/>
    <w:rsid w:val="4804067E"/>
    <w:rsid w:val="498B192F"/>
    <w:rsid w:val="4C0372E0"/>
    <w:rsid w:val="56936CB2"/>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03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D031C"/>
    <w:pPr>
      <w:tabs>
        <w:tab w:val="center" w:pos="4153"/>
        <w:tab w:val="right" w:pos="8306"/>
      </w:tabs>
      <w:snapToGrid w:val="0"/>
      <w:jc w:val="left"/>
    </w:pPr>
    <w:rPr>
      <w:sz w:val="18"/>
    </w:rPr>
  </w:style>
  <w:style w:type="paragraph" w:styleId="a4">
    <w:name w:val="header"/>
    <w:basedOn w:val="a"/>
    <w:qFormat/>
    <w:rsid w:val="00FD031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rsid w:val="00FD031C"/>
  </w:style>
  <w:style w:type="paragraph" w:styleId="a6">
    <w:name w:val="List Paragraph"/>
    <w:basedOn w:val="a"/>
    <w:uiPriority w:val="99"/>
    <w:unhideWhenUsed/>
    <w:rsid w:val="00BF64B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2</TotalTime>
  <Pages>8</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2017-03-09T08:07:00Z</dcterms:created>
  <dcterms:modified xsi:type="dcterms:W3CDTF">2017-07-06T04:42:00Z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