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18" w:rsidRPr="004A33A4" w:rsidRDefault="00944218">
      <w:pPr>
        <w:widowControl/>
        <w:spacing w:line="560" w:lineRule="exact"/>
        <w:ind w:rightChars="-200" w:right="-420"/>
        <w:jc w:val="center"/>
        <w:rPr>
          <w:rFonts w:asciiTheme="majorEastAsia" w:eastAsiaTheme="majorEastAsia" w:hAnsiTheme="majorEastAsia" w:cstheme="majorEastAsia"/>
          <w:bCs/>
          <w:color w:val="000000" w:themeColor="text1"/>
          <w:sz w:val="32"/>
          <w:szCs w:val="32"/>
        </w:rPr>
      </w:pPr>
    </w:p>
    <w:p w:rsidR="00944218" w:rsidRPr="004A33A4" w:rsidRDefault="00944218">
      <w:pPr>
        <w:widowControl/>
        <w:spacing w:line="560" w:lineRule="exact"/>
        <w:ind w:rightChars="-200" w:right="-420"/>
        <w:jc w:val="center"/>
        <w:rPr>
          <w:rFonts w:asciiTheme="majorEastAsia" w:eastAsiaTheme="majorEastAsia" w:hAnsiTheme="majorEastAsia" w:cstheme="majorEastAsia"/>
          <w:bCs/>
          <w:color w:val="000000" w:themeColor="text1"/>
          <w:sz w:val="32"/>
          <w:szCs w:val="32"/>
        </w:rPr>
      </w:pPr>
    </w:p>
    <w:p w:rsidR="00944218" w:rsidRPr="004A33A4" w:rsidRDefault="00570C08">
      <w:pPr>
        <w:spacing w:line="560" w:lineRule="exact"/>
        <w:jc w:val="center"/>
        <w:rPr>
          <w:rFonts w:asciiTheme="majorEastAsia" w:eastAsiaTheme="majorEastAsia" w:hAnsiTheme="majorEastAsia" w:cstheme="majorEastAsia"/>
          <w:color w:val="000000" w:themeColor="text1"/>
          <w:sz w:val="44"/>
          <w:szCs w:val="44"/>
        </w:rPr>
      </w:pPr>
      <w:r w:rsidRPr="004A33A4">
        <w:rPr>
          <w:rFonts w:asciiTheme="majorEastAsia" w:eastAsiaTheme="majorEastAsia" w:hAnsiTheme="majorEastAsia" w:cstheme="majorEastAsia" w:hint="eastAsia"/>
          <w:color w:val="000000" w:themeColor="text1"/>
          <w:sz w:val="44"/>
          <w:szCs w:val="44"/>
        </w:rPr>
        <w:t>巴音郭楞蒙古自治州塔里木胡杨国家级</w:t>
      </w:r>
    </w:p>
    <w:p w:rsidR="00944218" w:rsidRPr="004A33A4" w:rsidRDefault="00570C08">
      <w:pPr>
        <w:spacing w:line="560" w:lineRule="exact"/>
        <w:jc w:val="center"/>
        <w:rPr>
          <w:rFonts w:asciiTheme="majorEastAsia" w:eastAsiaTheme="majorEastAsia" w:hAnsiTheme="majorEastAsia" w:cstheme="majorEastAsia"/>
          <w:color w:val="000000" w:themeColor="text1"/>
          <w:sz w:val="44"/>
          <w:szCs w:val="44"/>
        </w:rPr>
      </w:pPr>
      <w:r w:rsidRPr="004A33A4">
        <w:rPr>
          <w:rFonts w:asciiTheme="majorEastAsia" w:eastAsiaTheme="majorEastAsia" w:hAnsiTheme="majorEastAsia" w:cstheme="majorEastAsia" w:hint="eastAsia"/>
          <w:color w:val="000000" w:themeColor="text1"/>
          <w:sz w:val="44"/>
          <w:szCs w:val="44"/>
        </w:rPr>
        <w:t>自然保护区管理条例</w:t>
      </w:r>
    </w:p>
    <w:p w:rsidR="00944218" w:rsidRPr="004A33A4" w:rsidRDefault="00944218">
      <w:pPr>
        <w:spacing w:line="560" w:lineRule="exact"/>
        <w:ind w:firstLineChars="200" w:firstLine="640"/>
        <w:jc w:val="center"/>
        <w:rPr>
          <w:rFonts w:asciiTheme="minorEastAsia" w:hAnsiTheme="minorEastAsia" w:cstheme="minorEastAsia"/>
          <w:color w:val="000000" w:themeColor="text1"/>
          <w:sz w:val="32"/>
          <w:szCs w:val="32"/>
        </w:rPr>
      </w:pPr>
    </w:p>
    <w:p w:rsidR="00944218" w:rsidRPr="004A33A4" w:rsidRDefault="00570C08" w:rsidP="004A33A4">
      <w:pPr>
        <w:spacing w:line="560" w:lineRule="exact"/>
        <w:ind w:leftChars="337" w:left="708" w:rightChars="296" w:right="622"/>
        <w:rPr>
          <w:rFonts w:ascii="楷体_GB2312" w:eastAsia="楷体_GB2312" w:hAnsi="楷体_GB2312" w:cs="楷体_GB2312"/>
          <w:color w:val="000000" w:themeColor="text1"/>
          <w:sz w:val="32"/>
          <w:szCs w:val="32"/>
        </w:rPr>
      </w:pP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（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2007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年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2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月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10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日巴音郭楞蒙古自治州第十一届人民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代表大会第五次会议通过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 xml:space="preserve">  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2007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年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7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月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27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日新疆维吾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尔自治区第十一届人民代表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大会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常务委员会第三十一次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会议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批准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 xml:space="preserve">  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根据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2019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年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1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月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11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日巴音郭楞蒙古自治州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第十四届人民代表大会第三次会议《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关于修改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&lt;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巴音郭楞蒙古自治州塔里木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胡杨国家级自然保护区管理条例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&gt;&lt;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巴音布鲁克草原生态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保护条例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&gt;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的决定》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修正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 xml:space="preserve">  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2019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年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5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月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31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日新疆维吾尔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自治区第十三届人民代表大会常务委员会第十次会议批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准</w:t>
      </w:r>
      <w:r w:rsidRPr="004A33A4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）</w:t>
      </w:r>
    </w:p>
    <w:p w:rsidR="00944218" w:rsidRPr="004A33A4" w:rsidRDefault="00944218">
      <w:pPr>
        <w:adjustRightInd w:val="0"/>
        <w:snapToGrid w:val="0"/>
        <w:spacing w:line="560" w:lineRule="exact"/>
        <w:ind w:rightChars="-214" w:right="-449" w:firstLineChars="200" w:firstLine="640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第一条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　为了加强塔里木胡杨国家级自然保护区（以下简称保护区）的建设和管理，保护自然生态环境和合理利用自然资源，实现可持续发展，依据《中华人民共和国自然保护区条例》和有关法律、法规，结合自治州实际，制定本条例。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  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第二条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  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保护区位于自治州尉犁县、轮台县行政区域内。保护区内的森林、林木和林地为国家所有。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第三条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  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在保护区内建设、管理和从事与保护区有关活动的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lastRenderedPageBreak/>
        <w:t>一切单位和个人，必须遵守本条例。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第四条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　自治州人民政府应当加强对保护区管理工作的领导，将保护区发展规划纳入自治州国民经济和社会发展规划，并与塔里木河流域综合治理规划相协调。保护区要坚持保护为主、科学开发、合理利用的原则，防止自然生态环境和自然资源遭受破坏。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 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第五条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  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自治州人民政府林业行政主管部门负责保护区管理工作，具体管理工作由保护区管理机构负责。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第六条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　保护区管理机构的主要职责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: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一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宣传、贯彻执行国家有关保护区法律、法规和方针政策；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二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编制保护区总体规划、建设发展规划以及各项管理制度，并组织实施；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三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开展保护区森林防火及森林病虫害防治工作；　　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四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依法管理保护区内自然生态环境、自然资源，拯救、繁殖珍稀、濒危生物物种，建立自然资源档案；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五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依法办理进入保护区手续，负责对进入保护区人员的管理；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六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建立科普示范基地，组织开展教育、科学研究、生态环境监测等活动；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七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依法查处破坏保护区自然生态环境和自然资源的违法行为；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lastRenderedPageBreak/>
        <w:t>（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八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有关法律、法规规定及自治州人民政府赋予的其他职责。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第七条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　保护区管理机构按照规划，在核心区、缓冲区、实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验区设立标牌，予以公告，任何单位和个人不得移动或毁坏。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第八条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　保护区管理机构所需经费应当纳入自治州财政预算。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第九条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　保护区实行以下保护措施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:   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一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未经依法批准任何单位和个人不得进入核心区及缓冲区；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 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二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禁止在自然保护区内进行砍伐、放牧、狩猎、捕捞、采药、开垦、烧荒、开矿、采石、挖沙等活动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但是，法律、法规另有规定的除外；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三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在保护区建立机构、修筑设施、占用林地的，必须征得保护区管理机构同意后，按国家有关规定报批。重大建设项目应在编制环境影响评价报告的同时，编制保护区主要保护对象生态影响评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价报告，并制订恢复补救方案和经济补偿措施；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四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禁止向保护区内及对保护区有影响的外围违法排放废水、倾倒废弃物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,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禁止将任何外来有害物种引入到保护区。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第十条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　自治州环保、国土资源、畜牧、水利等有关部门及保护区所在地的县、乡人民政府应当依照各自职责负责做好保护区的有关工作。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第十一条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　保护区内的单位和个人应当遵守保护区各项管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lastRenderedPageBreak/>
        <w:t>理制度，不得损害和破坏保护区自然生态环境和自然资源。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第十二条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　保护区内开展旅游及其他活动，应当符合国家有关保护区的管理活动，并依法缴纳有关费用。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第十三条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　保护区内实施林木抚育、补植苗木、植被恢复等非盈利性管护措施，可以优先安排生态用水。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第十四条　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根据国家有关规定和需要，可以在保护区设置公安派出机构或者配备公安特派员，依法查处破坏保护区资源的各类案件，维护保护区内的治安秩序。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第十五条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　对拒绝、阻碍行政执法人员依法执行公务的，依照《中华人民共和国治安管理处罚法》的有关规定给予处罚；情节严重构成犯罪的，依法追究刑事责任。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第十六条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　林业行政主管部门、保护区管理机构以及相关部门的工作人员滥用职权、玩忽职守、徇私舞弊的，给予行政处分；情节严重构成犯罪的，依法追究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刑事责任。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第十七条　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违反本条例规定应当给予处罚的行为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,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依照有关法律、法规的规定予以处罚。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第十八条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　当事人对行政处罚决定不服的，可以依法申请行政复议或者提起行政诉讼。</w:t>
      </w:r>
    </w:p>
    <w:p w:rsidR="00944218" w:rsidRPr="004A33A4" w:rsidRDefault="00570C08">
      <w:pPr>
        <w:spacing w:line="56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4A33A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第十九条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　本条例自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2007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年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9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月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 w:rsidRPr="004A33A4"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日起施行。</w:t>
      </w:r>
    </w:p>
    <w:p w:rsidR="00944218" w:rsidRPr="004A33A4" w:rsidRDefault="00944218">
      <w:pPr>
        <w:spacing w:line="560" w:lineRule="exact"/>
        <w:jc w:val="center"/>
        <w:rPr>
          <w:rFonts w:asciiTheme="majorEastAsia" w:eastAsiaTheme="majorEastAsia" w:hAnsiTheme="majorEastAsia" w:cstheme="majorEastAsia"/>
          <w:bCs/>
          <w:color w:val="000000" w:themeColor="text1"/>
          <w:sz w:val="32"/>
          <w:szCs w:val="32"/>
        </w:rPr>
      </w:pPr>
      <w:bookmarkStart w:id="0" w:name="_GoBack"/>
      <w:bookmarkEnd w:id="0"/>
    </w:p>
    <w:p w:rsidR="00944218" w:rsidRPr="004A33A4" w:rsidRDefault="00944218">
      <w:pPr>
        <w:spacing w:line="560" w:lineRule="exact"/>
        <w:rPr>
          <w:rFonts w:ascii="Times New Roman" w:eastAsia="仿宋_GB2312" w:hAnsi="Times New Roman" w:cs="Times New Roman"/>
          <w:color w:val="000000" w:themeColor="text1"/>
          <w:sz w:val="31"/>
          <w:szCs w:val="31"/>
        </w:rPr>
      </w:pPr>
    </w:p>
    <w:sectPr w:rsidR="00944218" w:rsidRPr="004A33A4" w:rsidSect="00944218">
      <w:footerReference w:type="default" r:id="rId7"/>
      <w:pgSz w:w="11906" w:h="16838"/>
      <w:pgMar w:top="2098" w:right="1531" w:bottom="2098" w:left="1531" w:header="851" w:footer="992" w:gutter="0"/>
      <w:pgNumType w:fmt="numberInDash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C08" w:rsidRDefault="00570C08" w:rsidP="00944218">
      <w:r>
        <w:separator/>
      </w:r>
    </w:p>
  </w:endnote>
  <w:endnote w:type="continuationSeparator" w:id="0">
    <w:p w:rsidR="00570C08" w:rsidRDefault="00570C08" w:rsidP="009442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218" w:rsidRDefault="00944218">
    <w:pPr>
      <w:pStyle w:val="a4"/>
      <w:tabs>
        <w:tab w:val="clear" w:pos="4153"/>
        <w:tab w:val="center" w:pos="4422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8" type="#_x0000_t202" style="position:absolute;margin-left:104pt;margin-top:0;width:2in;height:2in;z-index:251659264;mso-wrap-style:none;mso-position-horizontal:outside;mso-position-horizontal-relative:margin" filled="f" stroked="f">
          <v:textbox style="mso-fit-shape-to-text:t" inset="0,0,0,0">
            <w:txbxContent>
              <w:p w:rsidR="00944218" w:rsidRDefault="00944218">
                <w:pPr>
                  <w:pStyle w:val="a4"/>
                </w:pP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begin"/>
                </w:r>
                <w:r w:rsidR="00570C08"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separate"/>
                </w:r>
                <w:r w:rsidR="004A33A4">
                  <w:rPr>
                    <w:rFonts w:asciiTheme="minorEastAsia" w:hAnsiTheme="minorEastAsia" w:cstheme="minorEastAsia"/>
                    <w:noProof/>
                    <w:sz w:val="28"/>
                    <w:szCs w:val="28"/>
                  </w:rPr>
                  <w:t>- 1 -</w:t>
                </w:r>
                <w:r>
                  <w:rPr>
                    <w:rFonts w:asciiTheme="minorEastAsia" w:hAnsiTheme="minorEastAsia" w:cstheme="minorEastAsia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4097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944218" w:rsidRDefault="00944218">
                <w:pPr>
                  <w:pStyle w:val="a4"/>
                </w:pPr>
              </w:p>
            </w:txbxContent>
          </v:textbox>
          <w10:wrap anchorx="margin"/>
        </v:shape>
      </w:pict>
    </w:r>
    <w:r w:rsidR="00570C08">
      <w:rPr>
        <w:rFonts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C08" w:rsidRDefault="00570C08" w:rsidP="00944218">
      <w:r>
        <w:separator/>
      </w:r>
    </w:p>
  </w:footnote>
  <w:footnote w:type="continuationSeparator" w:id="0">
    <w:p w:rsidR="00570C08" w:rsidRDefault="00570C08" w:rsidP="009442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6146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2427B"/>
    <w:rsid w:val="0008282D"/>
    <w:rsid w:val="004A33A4"/>
    <w:rsid w:val="00570C08"/>
    <w:rsid w:val="0072427B"/>
    <w:rsid w:val="00944218"/>
    <w:rsid w:val="025362A7"/>
    <w:rsid w:val="053A417E"/>
    <w:rsid w:val="0A961492"/>
    <w:rsid w:val="0ABE79EE"/>
    <w:rsid w:val="0DE9582B"/>
    <w:rsid w:val="0E587E2B"/>
    <w:rsid w:val="0EC566EB"/>
    <w:rsid w:val="0F5C7972"/>
    <w:rsid w:val="10640677"/>
    <w:rsid w:val="124968E2"/>
    <w:rsid w:val="13E73277"/>
    <w:rsid w:val="1A4C4B88"/>
    <w:rsid w:val="1AFB19B5"/>
    <w:rsid w:val="1DB65CE8"/>
    <w:rsid w:val="1DB8207B"/>
    <w:rsid w:val="246A363F"/>
    <w:rsid w:val="24D36A27"/>
    <w:rsid w:val="26FC2577"/>
    <w:rsid w:val="2D8F5742"/>
    <w:rsid w:val="3E346F42"/>
    <w:rsid w:val="409651AF"/>
    <w:rsid w:val="41852B51"/>
    <w:rsid w:val="481C3706"/>
    <w:rsid w:val="53622040"/>
    <w:rsid w:val="56C510F4"/>
    <w:rsid w:val="59405A2D"/>
    <w:rsid w:val="5FB24DB2"/>
    <w:rsid w:val="605370EF"/>
    <w:rsid w:val="61E162F4"/>
    <w:rsid w:val="6233138F"/>
    <w:rsid w:val="62D41F8E"/>
    <w:rsid w:val="630B65C1"/>
    <w:rsid w:val="63E377A7"/>
    <w:rsid w:val="6A4A3611"/>
    <w:rsid w:val="6F526ADE"/>
    <w:rsid w:val="782C15F9"/>
    <w:rsid w:val="7F655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21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442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rsid w:val="00944218"/>
    <w:pPr>
      <w:spacing w:after="120"/>
      <w:ind w:leftChars="200" w:left="420"/>
    </w:pPr>
  </w:style>
  <w:style w:type="paragraph" w:styleId="a4">
    <w:name w:val="footer"/>
    <w:basedOn w:val="a"/>
    <w:qFormat/>
    <w:rsid w:val="00944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944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rsid w:val="00944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qFormat/>
    <w:rsid w:val="00944218"/>
  </w:style>
  <w:style w:type="character" w:customStyle="1" w:styleId="1Char">
    <w:name w:val="标题 1 Char"/>
    <w:basedOn w:val="a0"/>
    <w:link w:val="1"/>
    <w:uiPriority w:val="9"/>
    <w:qFormat/>
    <w:rsid w:val="00944218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text-info">
    <w:name w:val="text-info"/>
    <w:basedOn w:val="a"/>
    <w:qFormat/>
    <w:rsid w:val="00944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 textRotate="1"/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265</Words>
  <Characters>1511</Characters>
  <Application>Microsoft Office Word</Application>
  <DocSecurity>0</DocSecurity>
  <Lines>12</Lines>
  <Paragraphs>3</Paragraphs>
  <ScaleCrop>false</ScaleCrop>
  <Company>CHINA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</cp:lastModifiedBy>
  <cp:revision>2</cp:revision>
  <cp:lastPrinted>2019-07-12T01:58:00Z</cp:lastPrinted>
  <dcterms:created xsi:type="dcterms:W3CDTF">2019-07-09T02:20:00Z</dcterms:created>
  <dcterms:modified xsi:type="dcterms:W3CDTF">2019-07-27T11:21:00Z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