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sz w:val="44"/>
          <w:szCs w:val="44"/>
          <w:lang w:eastAsia="zh-CN"/>
        </w:rPr>
      </w:pPr>
    </w:p>
    <w:p>
      <w:pPr>
        <w:spacing w:line="600" w:lineRule="exact"/>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新疆维吾尔自治区专利促进与保护条例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center"/>
        <w:textAlignment w:val="auto"/>
        <w:outlineLvl w:val="9"/>
        <w:rPr>
          <w:rFonts w:hint="eastAsia" w:ascii="宋体" w:hAnsi="宋体" w:eastAsia="宋体" w:cs="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bCs/>
          <w:color w:val="000000"/>
          <w:sz w:val="32"/>
          <w:szCs w:val="32"/>
        </w:rPr>
        <w:t>2004年7月23日新疆维吾尔自治区第十届人民代表大会常务委员会第十一次会议通过    2012年9月28日新疆维吾尔自治区第十一届人民代表大会常务委员会第三十八次会议修订</w:t>
      </w:r>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黑体" w:cs="楷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tabs>
          <w:tab w:val="center" w:pos="4535"/>
          <w:tab w:val="left" w:pos="5760"/>
          <w:tab w:val="left" w:pos="8289"/>
        </w:tabs>
        <w:spacing w:line="600" w:lineRule="exact"/>
        <w:rPr>
          <w:rFonts w:hint="eastAsia" w:ascii="仿宋_GB2312" w:hAnsi="仿宋" w:eastAsia="黑体"/>
          <w:bCs/>
          <w:color w:val="000000"/>
          <w:sz w:val="32"/>
          <w:szCs w:val="32"/>
        </w:rPr>
      </w:pPr>
    </w:p>
    <w:p>
      <w:pPr>
        <w:keepNext w:val="0"/>
        <w:keepLines w:val="0"/>
        <w:pageBreakBefore w:val="0"/>
        <w:tabs>
          <w:tab w:val="left" w:pos="5760"/>
        </w:tabs>
        <w:kinsoku/>
        <w:wordWrap/>
        <w:overflowPunct/>
        <w:topLinePunct w:val="0"/>
        <w:bidi w:val="0"/>
        <w:adjustRightInd/>
        <w:snapToGrid w:val="0"/>
        <w:spacing w:line="600" w:lineRule="exact"/>
        <w:ind w:left="0" w:leftChars="0" w:right="0" w:rightChars="0" w:firstLine="640" w:firstLineChars="200"/>
        <w:textAlignment w:val="auto"/>
        <w:outlineLvl w:val="9"/>
        <w:rPr>
          <w:rFonts w:hint="eastAsia" w:ascii="仿宋_GB2312" w:hAnsi="仿宋_GB2312" w:eastAsia="黑体" w:cs="仿宋_GB2312"/>
          <w:color w:val="000000"/>
          <w:sz w:val="32"/>
          <w:szCs w:val="32"/>
        </w:rPr>
      </w:pPr>
      <w:r>
        <w:rPr>
          <w:rFonts w:hint="eastAsia" w:ascii="黑体" w:hAnsi="黑体" w:eastAsia="黑体" w:cs="黑体"/>
          <w:sz w:val="32"/>
          <w:szCs w:val="32"/>
          <w:lang w:eastAsia="zh-CN"/>
        </w:rPr>
        <w:t>第一条</w:t>
      </w:r>
      <w:r>
        <w:rPr>
          <w:rFonts w:hint="eastAsia" w:ascii="仿宋_GB2312" w:hAnsi="仿宋_GB2312" w:eastAsia="仿宋_GB2312" w:cs="仿宋_GB2312"/>
          <w:bCs/>
          <w:color w:val="000000"/>
          <w:sz w:val="32"/>
          <w:szCs w:val="32"/>
        </w:rPr>
        <w:t xml:space="preserve">  </w:t>
      </w:r>
      <w:r>
        <w:rPr>
          <w:rFonts w:hint="eastAsia" w:ascii="仿宋_GB2312" w:hAnsi="仿宋_GB2312" w:eastAsia="仿宋_GB2312" w:cs="仿宋_GB2312"/>
          <w:color w:val="000000"/>
          <w:sz w:val="32"/>
          <w:szCs w:val="32"/>
        </w:rPr>
        <w:t>为了鼓励发明创造,促进专利运用，加强专利保护和管理,维护专利权人的合法权益，根</w:t>
      </w:r>
      <w:bookmarkStart w:id="0" w:name="_GoBack"/>
      <w:bookmarkEnd w:id="0"/>
      <w:r>
        <w:rPr>
          <w:rFonts w:hint="eastAsia" w:ascii="仿宋_GB2312" w:hAnsi="仿宋_GB2312" w:eastAsia="仿宋_GB2312" w:cs="仿宋_GB2312"/>
          <w:color w:val="000000"/>
          <w:sz w:val="32"/>
          <w:szCs w:val="32"/>
        </w:rPr>
        <w:t xml:space="preserve">据《中华人民共和国专利法》、《中华人民共和国专利法实施细则》和有关法律、法规，结合自治区实际，制定本条例。     </w:t>
      </w:r>
    </w:p>
    <w:p>
      <w:pPr>
        <w:keepNext w:val="0"/>
        <w:keepLines w:val="0"/>
        <w:pageBreakBefore w:val="0"/>
        <w:tabs>
          <w:tab w:val="left" w:pos="5760"/>
        </w:tabs>
        <w:kinsoku/>
        <w:wordWrap/>
        <w:overflowPunct/>
        <w:topLinePunct w:val="0"/>
        <w:bidi w:val="0"/>
        <w:adjustRightInd/>
        <w:snapToGrid w:val="0"/>
        <w:spacing w:line="600" w:lineRule="exact"/>
        <w:ind w:left="0" w:leftChars="0" w:right="0" w:rightChars="0" w:firstLine="640" w:firstLineChars="200"/>
        <w:textAlignment w:val="auto"/>
        <w:outlineLvl w:val="9"/>
        <w:rPr>
          <w:rFonts w:hint="eastAsia" w:ascii="仿宋_GB2312" w:hAnsi="仿宋_GB2312" w:eastAsia="黑体" w:cs="仿宋_GB2312"/>
          <w:color w:val="000000"/>
          <w:sz w:val="32"/>
          <w:szCs w:val="32"/>
        </w:rPr>
      </w:pPr>
      <w:r>
        <w:rPr>
          <w:rFonts w:hint="eastAsia" w:ascii="仿宋_GB2312" w:hAnsi="仿宋_GB2312" w:eastAsia="黑体" w:cs="仿宋_GB2312"/>
          <w:bCs/>
          <w:color w:val="000000"/>
          <w:sz w:val="32"/>
          <w:szCs w:val="32"/>
        </w:rPr>
        <w:t>第二条</w:t>
      </w:r>
      <w:r>
        <w:rPr>
          <w:rFonts w:hint="eastAsia" w:ascii="仿宋_GB2312" w:hAnsi="仿宋_GB2312" w:eastAsia="仿宋_GB2312" w:cs="仿宋_GB2312"/>
          <w:bCs/>
          <w:color w:val="000000"/>
          <w:sz w:val="32"/>
          <w:szCs w:val="32"/>
        </w:rPr>
        <w:t xml:space="preserve">  </w:t>
      </w:r>
      <w:r>
        <w:rPr>
          <w:rFonts w:hint="eastAsia" w:ascii="仿宋_GB2312" w:hAnsi="仿宋_GB2312" w:eastAsia="仿宋_GB2312" w:cs="仿宋_GB2312"/>
          <w:color w:val="000000"/>
          <w:sz w:val="32"/>
          <w:szCs w:val="32"/>
        </w:rPr>
        <w:t>自治区行政区域内的专利创造、运用、保护、管理、服务及相关活动，适用本条例。</w:t>
      </w:r>
    </w:p>
    <w:p>
      <w:pPr>
        <w:keepNext w:val="0"/>
        <w:keepLines w:val="0"/>
        <w:pageBreakBefore w:val="0"/>
        <w:tabs>
          <w:tab w:val="left" w:pos="5760"/>
        </w:tabs>
        <w:kinsoku/>
        <w:wordWrap/>
        <w:overflowPunct/>
        <w:topLinePunct w:val="0"/>
        <w:bidi w:val="0"/>
        <w:adjustRightInd/>
        <w:snapToGrid w:val="0"/>
        <w:spacing w:line="600" w:lineRule="exact"/>
        <w:ind w:left="0" w:leftChars="0" w:right="0" w:rightChars="0" w:firstLine="640" w:firstLineChars="200"/>
        <w:textAlignment w:val="auto"/>
        <w:outlineLvl w:val="9"/>
        <w:rPr>
          <w:rFonts w:hint="eastAsia" w:ascii="仿宋_GB2312" w:hAnsi="仿宋_GB2312" w:eastAsia="黑体" w:cs="仿宋_GB2312"/>
          <w:color w:val="000000"/>
          <w:sz w:val="32"/>
          <w:szCs w:val="32"/>
        </w:rPr>
      </w:pPr>
      <w:r>
        <w:rPr>
          <w:rFonts w:hint="eastAsia" w:ascii="仿宋_GB2312" w:hAnsi="仿宋_GB2312" w:eastAsia="黑体" w:cs="仿宋_GB2312"/>
          <w:color w:val="000000"/>
          <w:sz w:val="32"/>
          <w:szCs w:val="32"/>
        </w:rPr>
        <w:t>第三条</w:t>
      </w:r>
      <w:r>
        <w:rPr>
          <w:rFonts w:hint="eastAsia" w:ascii="仿宋_GB2312" w:hAnsi="仿宋_GB2312" w:eastAsia="仿宋_GB2312" w:cs="仿宋_GB2312"/>
          <w:color w:val="000000"/>
          <w:sz w:val="32"/>
          <w:szCs w:val="32"/>
        </w:rPr>
        <w:t xml:space="preserve">  专利工作遵循激励创造、有效运用、依法保护、科学管理的原则。</w:t>
      </w:r>
    </w:p>
    <w:p>
      <w:pPr>
        <w:keepNext w:val="0"/>
        <w:keepLines w:val="0"/>
        <w:pageBreakBefore w:val="0"/>
        <w:tabs>
          <w:tab w:val="left" w:pos="5760"/>
        </w:tabs>
        <w:kinsoku/>
        <w:wordWrap/>
        <w:overflowPunct/>
        <w:topLinePunct w:val="0"/>
        <w:bidi w:val="0"/>
        <w:adjustRightInd/>
        <w:snapToGrid w:val="0"/>
        <w:spacing w:line="600" w:lineRule="exact"/>
        <w:ind w:left="0" w:leftChars="0" w:right="0" w:rightChars="0" w:firstLine="640" w:firstLineChars="200"/>
        <w:textAlignment w:val="auto"/>
        <w:outlineLvl w:val="9"/>
        <w:rPr>
          <w:rFonts w:hint="eastAsia" w:ascii="仿宋_GB2312" w:hAnsi="仿宋_GB2312" w:eastAsia="黑体" w:cs="仿宋_GB2312"/>
          <w:color w:val="000000"/>
          <w:sz w:val="32"/>
          <w:szCs w:val="32"/>
        </w:rPr>
      </w:pPr>
      <w:r>
        <w:rPr>
          <w:rFonts w:hint="eastAsia" w:ascii="仿宋_GB2312" w:hAnsi="仿宋_GB2312" w:eastAsia="黑体" w:cs="仿宋_GB2312"/>
          <w:bCs/>
          <w:color w:val="000000"/>
          <w:sz w:val="32"/>
          <w:szCs w:val="32"/>
        </w:rPr>
        <w:t>第四条</w:t>
      </w:r>
      <w:r>
        <w:rPr>
          <w:rFonts w:hint="eastAsia" w:ascii="仿宋_GB2312" w:hAnsi="仿宋_GB2312" w:eastAsia="仿宋_GB2312" w:cs="仿宋_GB2312"/>
          <w:color w:val="000000"/>
          <w:sz w:val="32"/>
          <w:szCs w:val="32"/>
        </w:rPr>
        <w:t xml:space="preserve">  县级以上人民政府应当加强对专利工作的领导，</w:t>
      </w:r>
      <w:r>
        <w:rPr>
          <w:rFonts w:hint="eastAsia" w:ascii="仿宋_GB2312" w:hAnsi="仿宋_GB2312" w:eastAsia="仿宋_GB2312" w:cs="仿宋_GB2312"/>
          <w:color w:val="000000"/>
          <w:kern w:val="0"/>
          <w:sz w:val="32"/>
          <w:szCs w:val="32"/>
        </w:rPr>
        <w:t>将专利工作纳入本行政区域国民经济和社会发展规划，建立健全专利管理工作体系，组织实施专利发展战略，</w:t>
      </w:r>
      <w:r>
        <w:rPr>
          <w:rFonts w:hint="eastAsia" w:ascii="仿宋_GB2312" w:hAnsi="仿宋_GB2312" w:eastAsia="仿宋_GB2312" w:cs="仿宋_GB2312"/>
          <w:color w:val="000000"/>
          <w:sz w:val="32"/>
          <w:szCs w:val="32"/>
        </w:rPr>
        <w:t>促进专利创造、专利成果运用和产业化发展。</w:t>
      </w:r>
    </w:p>
    <w:p>
      <w:pPr>
        <w:keepNext w:val="0"/>
        <w:keepLines w:val="0"/>
        <w:pageBreakBefore w:val="0"/>
        <w:tabs>
          <w:tab w:val="left" w:pos="5760"/>
        </w:tabs>
        <w:kinsoku/>
        <w:wordWrap/>
        <w:overflowPunct/>
        <w:topLinePunct w:val="0"/>
        <w:bidi w:val="0"/>
        <w:adjustRightInd/>
        <w:snapToGrid w:val="0"/>
        <w:spacing w:line="600" w:lineRule="exact"/>
        <w:ind w:left="0" w:leftChars="0" w:right="0" w:rightChars="0" w:firstLine="640" w:firstLineChars="200"/>
        <w:textAlignment w:val="auto"/>
        <w:outlineLvl w:val="9"/>
        <w:rPr>
          <w:rFonts w:hint="eastAsia" w:ascii="仿宋_GB2312" w:hAnsi="仿宋_GB2312" w:eastAsia="黑体" w:cs="仿宋_GB2312"/>
          <w:color w:val="000000"/>
          <w:sz w:val="32"/>
          <w:szCs w:val="32"/>
        </w:rPr>
      </w:pPr>
      <w:r>
        <w:rPr>
          <w:rFonts w:hint="eastAsia" w:ascii="仿宋_GB2312" w:hAnsi="仿宋_GB2312" w:eastAsia="黑体" w:cs="仿宋_GB2312"/>
          <w:color w:val="000000"/>
          <w:sz w:val="32"/>
          <w:szCs w:val="32"/>
        </w:rPr>
        <w:t>第五条</w:t>
      </w:r>
      <w:r>
        <w:rPr>
          <w:rFonts w:hint="eastAsia" w:ascii="仿宋_GB2312" w:hAnsi="仿宋_GB2312" w:eastAsia="仿宋_GB2312" w:cs="仿宋_GB2312"/>
          <w:color w:val="000000"/>
          <w:sz w:val="32"/>
          <w:szCs w:val="32"/>
        </w:rPr>
        <w:t xml:space="preserve">  县级以上人民政府对中小企业和个人在专利申请、运用、转让以及专利产品研究、开发等方面给予资金资助。 </w:t>
      </w:r>
    </w:p>
    <w:p>
      <w:pPr>
        <w:keepNext w:val="0"/>
        <w:keepLines w:val="0"/>
        <w:pageBreakBefore w:val="0"/>
        <w:tabs>
          <w:tab w:val="left" w:pos="5760"/>
        </w:tabs>
        <w:kinsoku/>
        <w:wordWrap/>
        <w:overflowPunct/>
        <w:topLinePunct w:val="0"/>
        <w:bidi w:val="0"/>
        <w:adjustRightInd/>
        <w:snapToGrid w:val="0"/>
        <w:spacing w:line="600" w:lineRule="exact"/>
        <w:ind w:left="0" w:leftChars="0" w:right="0" w:rightChars="0" w:firstLine="640" w:firstLineChars="200"/>
        <w:textAlignment w:val="auto"/>
        <w:outlineLvl w:val="9"/>
        <w:rPr>
          <w:rFonts w:hint="eastAsia" w:ascii="仿宋_GB2312" w:hAnsi="仿宋_GB2312" w:eastAsia="黑体" w:cs="仿宋_GB2312"/>
          <w:color w:val="000000"/>
          <w:sz w:val="32"/>
          <w:szCs w:val="32"/>
        </w:rPr>
      </w:pPr>
      <w:r>
        <w:rPr>
          <w:rFonts w:hint="eastAsia" w:ascii="仿宋_GB2312" w:hAnsi="仿宋_GB2312" w:eastAsia="黑体" w:cs="仿宋_GB2312"/>
          <w:color w:val="000000"/>
          <w:sz w:val="32"/>
          <w:szCs w:val="32"/>
        </w:rPr>
        <w:t>第六条</w:t>
      </w:r>
      <w:r>
        <w:rPr>
          <w:rFonts w:hint="eastAsia" w:ascii="仿宋_GB2312" w:hAnsi="仿宋_GB2312" w:eastAsia="仿宋_GB2312" w:cs="仿宋_GB2312"/>
          <w:color w:val="000000"/>
          <w:sz w:val="32"/>
          <w:szCs w:val="32"/>
        </w:rPr>
        <w:t xml:space="preserve">  自治区人民政府设立专利奖，对产生显著经济效益、社会效益的专利项目的单位和发明人、设计人给予奖励。</w:t>
      </w:r>
    </w:p>
    <w:p>
      <w:pPr>
        <w:keepNext w:val="0"/>
        <w:keepLines w:val="0"/>
        <w:pageBreakBefore w:val="0"/>
        <w:tabs>
          <w:tab w:val="left" w:pos="5760"/>
        </w:tabs>
        <w:kinsoku/>
        <w:wordWrap/>
        <w:overflowPunct/>
        <w:topLinePunct w:val="0"/>
        <w:bidi w:val="0"/>
        <w:adjustRightInd/>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第七条</w:t>
      </w:r>
      <w:r>
        <w:rPr>
          <w:rFonts w:hint="eastAsia" w:ascii="仿宋_GB2312" w:hAnsi="仿宋_GB2312" w:eastAsia="仿宋_GB2312" w:cs="仿宋_GB2312"/>
          <w:color w:val="000000"/>
          <w:sz w:val="32"/>
          <w:szCs w:val="32"/>
        </w:rPr>
        <w:t xml:space="preserve">  县级以上人民政府管理专利工作的部门（以下简称专利工作部门）负责本行政区域内的专利促进和保护工作。 </w:t>
      </w:r>
    </w:p>
    <w:p>
      <w:pPr>
        <w:keepNext w:val="0"/>
        <w:keepLines w:val="0"/>
        <w:pageBreakBefore w:val="0"/>
        <w:tabs>
          <w:tab w:val="left" w:pos="5760"/>
        </w:tabs>
        <w:kinsoku/>
        <w:wordWrap/>
        <w:overflowPunct/>
        <w:topLinePunct w:val="0"/>
        <w:bidi w:val="0"/>
        <w:adjustRightInd/>
        <w:spacing w:line="600" w:lineRule="exact"/>
        <w:ind w:left="0" w:leftChars="0" w:right="0" w:rightChars="0" w:firstLine="640" w:firstLineChars="200"/>
        <w:textAlignment w:val="auto"/>
        <w:outlineLvl w:val="9"/>
        <w:rPr>
          <w:rFonts w:hint="eastAsia" w:ascii="仿宋_GB2312" w:hAnsi="仿宋_GB2312" w:eastAsia="黑体" w:cs="仿宋_GB2312"/>
          <w:color w:val="000000"/>
          <w:sz w:val="32"/>
          <w:szCs w:val="32"/>
        </w:rPr>
      </w:pPr>
      <w:r>
        <w:rPr>
          <w:rFonts w:hint="eastAsia" w:ascii="仿宋_GB2312" w:hAnsi="仿宋_GB2312" w:eastAsia="仿宋_GB2312" w:cs="仿宋_GB2312"/>
          <w:color w:val="000000"/>
          <w:kern w:val="0"/>
          <w:sz w:val="32"/>
          <w:szCs w:val="32"/>
        </w:rPr>
        <w:t>发展改革、财政、国有资产监督管理、经济和信息化、科学技术、教育、商务、公安、工商行政管理、质量技术监督、税务</w:t>
      </w:r>
      <w:r>
        <w:rPr>
          <w:rFonts w:hint="eastAsia" w:ascii="仿宋_GB2312" w:hAnsi="仿宋_GB2312" w:eastAsia="仿宋_GB2312" w:cs="仿宋_GB2312"/>
          <w:color w:val="000000"/>
          <w:sz w:val="32"/>
          <w:szCs w:val="32"/>
        </w:rPr>
        <w:t xml:space="preserve">等有关部门按照各自职责，做好专利促进和保护的相关工作。     </w:t>
      </w:r>
    </w:p>
    <w:p>
      <w:pPr>
        <w:keepNext w:val="0"/>
        <w:keepLines w:val="0"/>
        <w:pageBreakBefore w:val="0"/>
        <w:widowControl/>
        <w:kinsoku/>
        <w:wordWrap/>
        <w:overflowPunct/>
        <w:topLinePunct w:val="0"/>
        <w:bidi w:val="0"/>
        <w:adjustRightInd/>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bdr w:val="single" w:color="auto" w:sz="4" w:space="0"/>
          <w:shd w:val="pct10" w:color="auto" w:fill="FFFFFF"/>
        </w:rPr>
      </w:pPr>
      <w:r>
        <w:rPr>
          <w:rFonts w:hint="eastAsia" w:ascii="仿宋_GB2312" w:hAnsi="仿宋_GB2312" w:eastAsia="黑体" w:cs="仿宋_GB2312"/>
          <w:color w:val="000000"/>
          <w:kern w:val="0"/>
          <w:sz w:val="32"/>
          <w:szCs w:val="32"/>
        </w:rPr>
        <w:t>第八条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sz w:val="32"/>
          <w:szCs w:val="32"/>
        </w:rPr>
        <w:t>县级以上人民政府及其有关部门应当加强专利知识的宣传普及。广播、电视、报纸、网络等媒体应当开展专利知识和专利法律、法规宣传，增强全社会的专利意识。</w:t>
      </w:r>
    </w:p>
    <w:p>
      <w:pPr>
        <w:keepNext w:val="0"/>
        <w:keepLines w:val="0"/>
        <w:pageBreakBefore w:val="0"/>
        <w:widowControl/>
        <w:kinsoku/>
        <w:wordWrap/>
        <w:overflowPunct/>
        <w:topLinePunct w:val="0"/>
        <w:bidi w:val="0"/>
        <w:adjustRightInd/>
        <w:spacing w:line="600" w:lineRule="exact"/>
        <w:ind w:left="0" w:leftChars="0" w:right="0" w:rightChars="0" w:firstLine="640" w:firstLineChars="200"/>
        <w:textAlignment w:val="auto"/>
        <w:outlineLvl w:val="9"/>
        <w:rPr>
          <w:rFonts w:hint="eastAsia" w:ascii="仿宋_GB2312" w:hAnsi="仿宋_GB2312" w:eastAsia="黑体" w:cs="仿宋_GB2312"/>
          <w:color w:val="000000"/>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专利创造</w:t>
      </w:r>
    </w:p>
    <w:p>
      <w:pPr>
        <w:keepNext w:val="0"/>
        <w:keepLines w:val="0"/>
        <w:pageBreakBefore w:val="0"/>
        <w:tabs>
          <w:tab w:val="left" w:pos="5760"/>
        </w:tabs>
        <w:kinsoku/>
        <w:wordWrap/>
        <w:overflowPunct/>
        <w:topLinePunct w:val="0"/>
        <w:bidi w:val="0"/>
        <w:adjustRightInd/>
        <w:spacing w:line="600" w:lineRule="exact"/>
        <w:ind w:left="0" w:leftChars="0" w:right="0" w:rightChars="0" w:firstLine="640" w:firstLineChars="200"/>
        <w:jc w:val="center"/>
        <w:textAlignment w:val="auto"/>
        <w:outlineLvl w:val="9"/>
        <w:rPr>
          <w:rFonts w:hint="eastAsia" w:ascii="仿宋_GB2312" w:hAnsi="仿宋_GB2312" w:eastAsia="黑体" w:cs="仿宋_GB2312"/>
          <w:color w:val="000000"/>
          <w:sz w:val="32"/>
          <w:szCs w:val="32"/>
        </w:rPr>
      </w:pPr>
    </w:p>
    <w:p>
      <w:pPr>
        <w:keepNext w:val="0"/>
        <w:keepLines w:val="0"/>
        <w:pageBreakBefore w:val="0"/>
        <w:kinsoku/>
        <w:wordWrap/>
        <w:overflowPunct/>
        <w:topLinePunct w:val="0"/>
        <w:bidi w:val="0"/>
        <w:adjustRightInd/>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黑体" w:cs="仿宋_GB2312"/>
          <w:color w:val="000000"/>
          <w:kern w:val="0"/>
          <w:sz w:val="32"/>
          <w:szCs w:val="32"/>
        </w:rPr>
        <w:t>第九条</w:t>
      </w:r>
      <w:r>
        <w:rPr>
          <w:rFonts w:hint="eastAsia" w:ascii="仿宋_GB2312" w:hAnsi="仿宋_GB2312" w:eastAsia="仿宋_GB2312" w:cs="仿宋_GB2312"/>
          <w:color w:val="000000"/>
          <w:kern w:val="0"/>
          <w:sz w:val="32"/>
          <w:szCs w:val="32"/>
        </w:rPr>
        <w:t xml:space="preserve">  县级以上人民政府应当在本级年度财政预算中安排专利工作专项资金，并根据财政情况逐步提高。</w:t>
      </w:r>
    </w:p>
    <w:p>
      <w:pPr>
        <w:keepNext w:val="0"/>
        <w:keepLines w:val="0"/>
        <w:pageBreakBefore w:val="0"/>
        <w:kinsoku/>
        <w:wordWrap/>
        <w:overflowPunct/>
        <w:topLinePunct w:val="0"/>
        <w:bidi w:val="0"/>
        <w:adjustRightInd/>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专利工作专项资金主要用于下列事项：</w:t>
      </w:r>
    </w:p>
    <w:p>
      <w:pPr>
        <w:keepNext w:val="0"/>
        <w:keepLines w:val="0"/>
        <w:pageBreakBefore w:val="0"/>
        <w:kinsoku/>
        <w:wordWrap/>
        <w:overflowPunct/>
        <w:topLinePunct w:val="0"/>
        <w:bidi w:val="0"/>
        <w:adjustRightInd/>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（一）资助专利申请；</w:t>
      </w:r>
    </w:p>
    <w:p>
      <w:pPr>
        <w:keepNext w:val="0"/>
        <w:keepLines w:val="0"/>
        <w:pageBreakBefore w:val="0"/>
        <w:kinsoku/>
        <w:wordWrap/>
        <w:overflowPunct/>
        <w:topLinePunct w:val="0"/>
        <w:bidi w:val="0"/>
        <w:adjustRightInd/>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（二）促进专利实施；</w:t>
      </w:r>
    </w:p>
    <w:p>
      <w:pPr>
        <w:keepNext w:val="0"/>
        <w:keepLines w:val="0"/>
        <w:pageBreakBefore w:val="0"/>
        <w:kinsoku/>
        <w:wordWrap/>
        <w:overflowPunct/>
        <w:topLinePunct w:val="0"/>
        <w:bidi w:val="0"/>
        <w:adjustRightInd/>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（三）专利保护、预警应急与维权援助机制建设；</w:t>
      </w:r>
    </w:p>
    <w:p>
      <w:pPr>
        <w:keepNext w:val="0"/>
        <w:keepLines w:val="0"/>
        <w:pageBreakBefore w:val="0"/>
        <w:kinsoku/>
        <w:wordWrap/>
        <w:overflowPunct/>
        <w:topLinePunct w:val="0"/>
        <w:bidi w:val="0"/>
        <w:adjustRightInd/>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（四）专利公共服务平台建设；</w:t>
      </w:r>
    </w:p>
    <w:p>
      <w:pPr>
        <w:keepNext w:val="0"/>
        <w:keepLines w:val="0"/>
        <w:pageBreakBefore w:val="0"/>
        <w:kinsoku/>
        <w:wordWrap/>
        <w:overflowPunct/>
        <w:topLinePunct w:val="0"/>
        <w:bidi w:val="0"/>
        <w:adjustRightInd/>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（五）专利人才培养、交流、合作；</w:t>
      </w:r>
    </w:p>
    <w:p>
      <w:pPr>
        <w:keepNext w:val="0"/>
        <w:keepLines w:val="0"/>
        <w:pageBreakBefore w:val="0"/>
        <w:kinsoku/>
        <w:wordWrap/>
        <w:overflowPunct/>
        <w:topLinePunct w:val="0"/>
        <w:bidi w:val="0"/>
        <w:adjustRightInd/>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（六）对做出突出贡献的专利权人的奖励；</w:t>
      </w:r>
    </w:p>
    <w:p>
      <w:pPr>
        <w:keepNext w:val="0"/>
        <w:keepLines w:val="0"/>
        <w:pageBreakBefore w:val="0"/>
        <w:kinsoku/>
        <w:wordWrap/>
        <w:overflowPunct/>
        <w:topLinePunct w:val="0"/>
        <w:bidi w:val="0"/>
        <w:adjustRightInd/>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（七）专利促进和保护的其他事项。</w:t>
      </w:r>
    </w:p>
    <w:p>
      <w:pPr>
        <w:keepNext w:val="0"/>
        <w:keepLines w:val="0"/>
        <w:pageBreakBefore w:val="0"/>
        <w:kinsoku/>
        <w:wordWrap/>
        <w:overflowPunct/>
        <w:topLinePunct w:val="0"/>
        <w:bidi w:val="0"/>
        <w:adjustRightInd/>
        <w:spacing w:line="600" w:lineRule="exact"/>
        <w:ind w:left="0" w:leftChars="0" w:right="0" w:rightChars="0" w:firstLine="640" w:firstLineChars="200"/>
        <w:textAlignment w:val="auto"/>
        <w:outlineLvl w:val="9"/>
        <w:rPr>
          <w:rFonts w:hint="eastAsia" w:ascii="仿宋_GB2312" w:hAnsi="仿宋_GB2312" w:eastAsia="黑体" w:cs="仿宋_GB2312"/>
          <w:color w:val="000000"/>
          <w:kern w:val="0"/>
          <w:sz w:val="32"/>
          <w:szCs w:val="32"/>
        </w:rPr>
      </w:pPr>
      <w:r>
        <w:rPr>
          <w:rFonts w:hint="eastAsia" w:ascii="仿宋_GB2312" w:hAnsi="仿宋_GB2312" w:eastAsia="仿宋_GB2312" w:cs="仿宋_GB2312"/>
          <w:color w:val="000000"/>
          <w:kern w:val="0"/>
          <w:sz w:val="32"/>
          <w:szCs w:val="32"/>
        </w:rPr>
        <w:t>县级以上人民政府财政、审计部门应当按照各自职责，对本级专利工作专项资金的使用情况进行监督。</w:t>
      </w:r>
    </w:p>
    <w:p>
      <w:pPr>
        <w:keepNext w:val="0"/>
        <w:keepLines w:val="0"/>
        <w:pageBreakBefore w:val="0"/>
        <w:widowControl/>
        <w:kinsoku/>
        <w:wordWrap/>
        <w:overflowPunct/>
        <w:topLinePunct w:val="0"/>
        <w:bidi w:val="0"/>
        <w:adjustRightInd/>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黑体" w:cs="仿宋_GB2312"/>
          <w:color w:val="000000"/>
          <w:kern w:val="0"/>
          <w:sz w:val="32"/>
          <w:szCs w:val="32"/>
        </w:rPr>
        <w:t>第十条</w:t>
      </w:r>
      <w:r>
        <w:rPr>
          <w:rFonts w:hint="eastAsia" w:ascii="仿宋_GB2312" w:hAnsi="仿宋_GB2312" w:eastAsia="仿宋_GB2312" w:cs="仿宋_GB2312"/>
          <w:color w:val="000000"/>
          <w:kern w:val="0"/>
          <w:sz w:val="32"/>
          <w:szCs w:val="32"/>
        </w:rPr>
        <w:t xml:space="preserve">  鼓励企业事业单位或者个人研究、开发对产业发展有重大推动作用的技术和设备，促进原始创新、集成创新和引进消化吸收再创新，取得国内及国外专利。</w:t>
      </w:r>
    </w:p>
    <w:p>
      <w:pPr>
        <w:keepNext w:val="0"/>
        <w:keepLines w:val="0"/>
        <w:pageBreakBefore w:val="0"/>
        <w:widowControl/>
        <w:kinsoku/>
        <w:wordWrap/>
        <w:overflowPunct/>
        <w:topLinePunct w:val="0"/>
        <w:bidi w:val="0"/>
        <w:adjustRightInd/>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鼓励企业事业单位建立内部专利人才绩效评价和激励机制。</w:t>
      </w:r>
    </w:p>
    <w:p>
      <w:pPr>
        <w:keepNext w:val="0"/>
        <w:keepLines w:val="0"/>
        <w:pageBreakBefore w:val="0"/>
        <w:widowControl/>
        <w:kinsoku/>
        <w:wordWrap/>
        <w:overflowPunct/>
        <w:topLinePunct w:val="0"/>
        <w:bidi w:val="0"/>
        <w:adjustRightInd/>
        <w:spacing w:line="600" w:lineRule="exact"/>
        <w:ind w:left="0" w:leftChars="0" w:right="0" w:rightChars="0" w:firstLine="640" w:firstLineChars="200"/>
        <w:jc w:val="left"/>
        <w:textAlignment w:val="auto"/>
        <w:outlineLvl w:val="9"/>
        <w:rPr>
          <w:rFonts w:hint="eastAsia" w:ascii="仿宋_GB2312" w:hAnsi="仿宋_GB2312" w:eastAsia="黑体" w:cs="仿宋_GB2312"/>
          <w:color w:val="000000"/>
          <w:kern w:val="0"/>
          <w:sz w:val="32"/>
          <w:szCs w:val="32"/>
        </w:rPr>
      </w:pPr>
      <w:r>
        <w:rPr>
          <w:rFonts w:hint="eastAsia" w:ascii="仿宋_GB2312" w:hAnsi="仿宋_GB2312" w:eastAsia="仿宋_GB2312" w:cs="仿宋_GB2312"/>
          <w:color w:val="000000"/>
          <w:kern w:val="0"/>
          <w:sz w:val="32"/>
          <w:szCs w:val="32"/>
        </w:rPr>
        <w:t>鼓励对少数民族传统技术工艺进行创新，形成新技术、新产品、新工艺。</w:t>
      </w:r>
    </w:p>
    <w:p>
      <w:pPr>
        <w:keepNext w:val="0"/>
        <w:keepLines w:val="0"/>
        <w:pageBreakBefore w:val="0"/>
        <w:widowControl/>
        <w:kinsoku/>
        <w:wordWrap/>
        <w:overflowPunct/>
        <w:topLinePunct w:val="0"/>
        <w:bidi w:val="0"/>
        <w:adjustRightInd/>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黑体" w:cs="仿宋_GB2312"/>
          <w:color w:val="000000"/>
          <w:kern w:val="0"/>
          <w:sz w:val="32"/>
          <w:szCs w:val="32"/>
        </w:rPr>
        <w:t>第十一条</w:t>
      </w:r>
      <w:r>
        <w:rPr>
          <w:rFonts w:hint="eastAsia" w:ascii="仿宋_GB2312" w:hAnsi="仿宋_GB2312" w:eastAsia="仿宋_GB2312" w:cs="仿宋_GB2312"/>
          <w:color w:val="000000"/>
          <w:kern w:val="0"/>
          <w:sz w:val="32"/>
          <w:szCs w:val="32"/>
        </w:rPr>
        <w:t xml:space="preserve">  企业事业单位申请专利、办理其他专利事务以及引进先进专利技术及其设备等费用,依法计入企业成本或者列为事业费。</w:t>
      </w:r>
    </w:p>
    <w:p>
      <w:pPr>
        <w:keepNext w:val="0"/>
        <w:keepLines w:val="0"/>
        <w:pageBreakBefore w:val="0"/>
        <w:widowControl/>
        <w:kinsoku/>
        <w:wordWrap/>
        <w:overflowPunct/>
        <w:topLinePunct w:val="0"/>
        <w:bidi w:val="0"/>
        <w:adjustRightInd/>
        <w:spacing w:line="600" w:lineRule="exact"/>
        <w:ind w:left="0" w:leftChars="0" w:right="0" w:rightChars="0" w:firstLine="640" w:firstLineChars="200"/>
        <w:jc w:val="left"/>
        <w:textAlignment w:val="auto"/>
        <w:outlineLvl w:val="9"/>
        <w:rPr>
          <w:rFonts w:hint="eastAsia" w:ascii="仿宋_GB2312" w:hAnsi="仿宋_GB2312" w:eastAsia="黑体" w:cs="仿宋_GB2312"/>
          <w:color w:val="000000"/>
          <w:kern w:val="0"/>
          <w:sz w:val="32"/>
          <w:szCs w:val="32"/>
        </w:rPr>
      </w:pPr>
      <w:r>
        <w:rPr>
          <w:rFonts w:hint="eastAsia" w:ascii="仿宋_GB2312" w:hAnsi="仿宋_GB2312" w:eastAsia="仿宋_GB2312" w:cs="仿宋_GB2312"/>
          <w:color w:val="000000"/>
          <w:kern w:val="0"/>
          <w:sz w:val="32"/>
          <w:szCs w:val="32"/>
        </w:rPr>
        <w:t>企业事业单位为研究和开发专利产品所发生的费用,依照有关法律、法规的规定享受税收优惠。</w:t>
      </w:r>
    </w:p>
    <w:p>
      <w:pPr>
        <w:keepNext w:val="0"/>
        <w:keepLines w:val="0"/>
        <w:pageBreakBefore w:val="0"/>
        <w:widowControl/>
        <w:kinsoku/>
        <w:wordWrap/>
        <w:overflowPunct/>
        <w:topLinePunct w:val="0"/>
        <w:bidi w:val="0"/>
        <w:adjustRightInd/>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黑体" w:cs="仿宋_GB2312"/>
          <w:color w:val="000000"/>
          <w:kern w:val="0"/>
          <w:sz w:val="32"/>
          <w:szCs w:val="32"/>
        </w:rPr>
        <w:t>第十二条</w:t>
      </w:r>
      <w:r>
        <w:rPr>
          <w:rFonts w:hint="eastAsia" w:ascii="仿宋_GB2312" w:hAnsi="仿宋_GB2312" w:eastAsia="仿宋_GB2312" w:cs="仿宋_GB2312"/>
          <w:color w:val="000000"/>
          <w:kern w:val="0"/>
          <w:sz w:val="32"/>
          <w:szCs w:val="32"/>
        </w:rPr>
        <w:t xml:space="preserve">  评审科学技术奖励、技术创新奖励和专利奖励项目，审批科研开发、技术改造和高新技术产业化等财政性资金支持项目时，有关部门应当将项目是否具有或者能否产生专利技术作为评审的重要条件。</w:t>
      </w:r>
    </w:p>
    <w:p>
      <w:pPr>
        <w:keepNext w:val="0"/>
        <w:keepLines w:val="0"/>
        <w:pageBreakBefore w:val="0"/>
        <w:widowControl/>
        <w:kinsoku/>
        <w:wordWrap/>
        <w:overflowPunct/>
        <w:topLinePunct w:val="0"/>
        <w:bidi w:val="0"/>
        <w:adjustRightInd/>
        <w:spacing w:line="600" w:lineRule="exact"/>
        <w:ind w:left="0" w:leftChars="0" w:right="0" w:rightChars="0" w:firstLine="640" w:firstLineChars="200"/>
        <w:jc w:val="left"/>
        <w:textAlignment w:val="auto"/>
        <w:outlineLvl w:val="9"/>
        <w:rPr>
          <w:rFonts w:hint="eastAsia" w:ascii="仿宋_GB2312" w:hAnsi="仿宋_GB2312" w:eastAsia="黑体" w:cs="仿宋_GB2312"/>
          <w:color w:val="000000"/>
          <w:kern w:val="0"/>
          <w:sz w:val="32"/>
          <w:szCs w:val="32"/>
        </w:rPr>
      </w:pPr>
      <w:r>
        <w:rPr>
          <w:rFonts w:hint="eastAsia" w:ascii="仿宋_GB2312" w:hAnsi="仿宋_GB2312" w:eastAsia="仿宋_GB2312" w:cs="仿宋_GB2312"/>
          <w:color w:val="000000"/>
          <w:kern w:val="0"/>
          <w:sz w:val="32"/>
          <w:szCs w:val="32"/>
        </w:rPr>
        <w:t>前款规定的项目具有专利技术的，在申请奖励时，申请人应当向有关部门提交专利权有效证明；在申请资金支持时，申请人应当向有关部门提交专利检索报告。</w:t>
      </w:r>
    </w:p>
    <w:p>
      <w:pPr>
        <w:keepNext w:val="0"/>
        <w:keepLines w:val="0"/>
        <w:pageBreakBefore w:val="0"/>
        <w:tabs>
          <w:tab w:val="left" w:pos="5760"/>
        </w:tabs>
        <w:kinsoku/>
        <w:wordWrap/>
        <w:overflowPunct/>
        <w:topLinePunct w:val="0"/>
        <w:bidi w:val="0"/>
        <w:adjustRightInd/>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bdr w:val="single" w:color="auto" w:sz="4" w:space="0"/>
          <w:shd w:val="pct10" w:color="auto" w:fill="FFFFFF"/>
        </w:rPr>
      </w:pPr>
      <w:r>
        <w:rPr>
          <w:rFonts w:hint="eastAsia" w:ascii="仿宋_GB2312" w:hAnsi="仿宋_GB2312" w:eastAsia="黑体" w:cs="仿宋_GB2312"/>
          <w:color w:val="000000"/>
          <w:kern w:val="0"/>
          <w:sz w:val="32"/>
          <w:szCs w:val="32"/>
        </w:rPr>
        <w:t>第十三条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sz w:val="32"/>
          <w:szCs w:val="32"/>
        </w:rPr>
        <w:t>被授予专利权的单位应当依照国家和自治区有关规定对职务发明创造的发明人或者设计人给予奖励；自行实施专利、许可他人实施专利或者转让专利权的，应当依法对职务发明创造的发明人或者设计人给予报酬。</w:t>
      </w:r>
    </w:p>
    <w:p>
      <w:pPr>
        <w:keepNext w:val="0"/>
        <w:keepLines w:val="0"/>
        <w:pageBreakBefore w:val="0"/>
        <w:tabs>
          <w:tab w:val="left" w:pos="5760"/>
        </w:tabs>
        <w:kinsoku/>
        <w:wordWrap/>
        <w:overflowPunct/>
        <w:topLinePunct w:val="0"/>
        <w:bidi w:val="0"/>
        <w:adjustRightInd/>
        <w:snapToGrid w:val="0"/>
        <w:spacing w:line="600" w:lineRule="exact"/>
        <w:ind w:left="0" w:leftChars="0" w:right="0" w:rightChars="0" w:firstLine="640" w:firstLineChars="200"/>
        <w:textAlignment w:val="auto"/>
        <w:outlineLvl w:val="9"/>
        <w:rPr>
          <w:rFonts w:hint="eastAsia" w:ascii="仿宋_GB2312" w:hAnsi="仿宋_GB2312" w:eastAsia="黑体" w:cs="仿宋_GB2312"/>
          <w:color w:val="000000"/>
          <w:sz w:val="32"/>
          <w:szCs w:val="32"/>
        </w:rPr>
      </w:pPr>
      <w:r>
        <w:rPr>
          <w:rFonts w:hint="eastAsia" w:ascii="仿宋_GB2312" w:hAnsi="仿宋_GB2312" w:eastAsia="仿宋_GB2312" w:cs="仿宋_GB2312"/>
          <w:color w:val="000000"/>
          <w:sz w:val="32"/>
          <w:szCs w:val="32"/>
        </w:rPr>
        <w:t>奖励或者报酬可以采取现金、股份、股权收益或者当事人约定的其他形式给付。</w:t>
      </w:r>
    </w:p>
    <w:p>
      <w:pPr>
        <w:keepNext w:val="0"/>
        <w:keepLines w:val="0"/>
        <w:pageBreakBefore w:val="0"/>
        <w:tabs>
          <w:tab w:val="left" w:pos="5760"/>
        </w:tabs>
        <w:kinsoku/>
        <w:wordWrap/>
        <w:overflowPunct/>
        <w:topLinePunct w:val="0"/>
        <w:bidi w:val="0"/>
        <w:adjustRightInd/>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shd w:val="pct10" w:color="auto" w:fill="FFFFFF"/>
        </w:rPr>
      </w:pPr>
      <w:r>
        <w:rPr>
          <w:rFonts w:hint="eastAsia" w:ascii="仿宋_GB2312" w:hAnsi="仿宋_GB2312" w:eastAsia="黑体" w:cs="仿宋_GB2312"/>
          <w:color w:val="000000"/>
          <w:kern w:val="0"/>
          <w:sz w:val="32"/>
          <w:szCs w:val="32"/>
        </w:rPr>
        <w:t>第十四条</w:t>
      </w:r>
      <w:r>
        <w:rPr>
          <w:rFonts w:hint="eastAsia" w:ascii="仿宋_GB2312" w:hAnsi="仿宋_GB2312" w:eastAsia="仿宋_GB2312" w:cs="仿宋_GB2312"/>
          <w:color w:val="000000"/>
          <w:kern w:val="0"/>
          <w:sz w:val="32"/>
          <w:szCs w:val="32"/>
        </w:rPr>
        <w:t xml:space="preserve">  对技术进步产生重大作用、取得显著经济和社会效益的专利技术，其主要发明人或者设计人可以破格申报相关专业技术职称。</w:t>
      </w:r>
    </w:p>
    <w:p>
      <w:pPr>
        <w:keepNext w:val="0"/>
        <w:keepLines w:val="0"/>
        <w:pageBreakBefore w:val="0"/>
        <w:tabs>
          <w:tab w:val="left" w:pos="5760"/>
        </w:tabs>
        <w:kinsoku/>
        <w:wordWrap/>
        <w:overflowPunct/>
        <w:topLinePunct w:val="0"/>
        <w:bidi w:val="0"/>
        <w:adjustRightInd/>
        <w:spacing w:line="600" w:lineRule="exact"/>
        <w:ind w:left="0" w:leftChars="0" w:right="0" w:rightChars="0" w:firstLine="640" w:firstLineChars="200"/>
        <w:jc w:val="center"/>
        <w:textAlignment w:val="auto"/>
        <w:outlineLvl w:val="9"/>
        <w:rPr>
          <w:rFonts w:hint="eastAsia" w:ascii="仿宋_GB2312" w:hAnsi="仿宋_GB2312" w:eastAsia="黑体"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专利运用</w:t>
      </w:r>
    </w:p>
    <w:p>
      <w:pPr>
        <w:keepNext w:val="0"/>
        <w:keepLines w:val="0"/>
        <w:pageBreakBefore w:val="0"/>
        <w:tabs>
          <w:tab w:val="left" w:pos="5760"/>
        </w:tabs>
        <w:kinsoku/>
        <w:wordWrap/>
        <w:overflowPunct/>
        <w:topLinePunct w:val="0"/>
        <w:bidi w:val="0"/>
        <w:adjustRightInd/>
        <w:spacing w:line="600" w:lineRule="exact"/>
        <w:ind w:left="0" w:leftChars="0" w:right="0" w:rightChars="0" w:firstLine="640" w:firstLineChars="200"/>
        <w:jc w:val="center"/>
        <w:textAlignment w:val="auto"/>
        <w:outlineLvl w:val="9"/>
        <w:rPr>
          <w:rFonts w:hint="eastAsia" w:ascii="仿宋_GB2312" w:hAnsi="仿宋_GB2312" w:eastAsia="黑体" w:cs="仿宋_GB2312"/>
          <w:color w:val="000000"/>
          <w:sz w:val="32"/>
          <w:szCs w:val="32"/>
        </w:rPr>
      </w:pPr>
    </w:p>
    <w:p>
      <w:pPr>
        <w:keepNext w:val="0"/>
        <w:keepLines w:val="0"/>
        <w:pageBreakBefore w:val="0"/>
        <w:tabs>
          <w:tab w:val="left" w:pos="5760"/>
        </w:tabs>
        <w:kinsoku/>
        <w:wordWrap/>
        <w:overflowPunct/>
        <w:topLinePunct w:val="0"/>
        <w:bidi w:val="0"/>
        <w:adjustRightInd/>
        <w:spacing w:line="600" w:lineRule="exact"/>
        <w:ind w:left="0" w:leftChars="0" w:right="0" w:rightChars="0" w:firstLine="640" w:firstLineChars="200"/>
        <w:textAlignment w:val="auto"/>
        <w:outlineLvl w:val="9"/>
        <w:rPr>
          <w:rFonts w:hint="eastAsia" w:ascii="仿宋_GB2312" w:hAnsi="仿宋_GB2312" w:eastAsia="黑体" w:cs="仿宋_GB2312"/>
          <w:color w:val="000000"/>
          <w:kern w:val="0"/>
          <w:sz w:val="32"/>
          <w:szCs w:val="32"/>
        </w:rPr>
      </w:pPr>
      <w:r>
        <w:rPr>
          <w:rFonts w:hint="eastAsia" w:ascii="仿宋_GB2312" w:hAnsi="仿宋_GB2312" w:eastAsia="黑体" w:cs="仿宋_GB2312"/>
          <w:color w:val="000000"/>
          <w:kern w:val="0"/>
          <w:sz w:val="32"/>
          <w:szCs w:val="32"/>
        </w:rPr>
        <w:t>第十五条</w:t>
      </w:r>
      <w:r>
        <w:rPr>
          <w:rFonts w:hint="eastAsia" w:ascii="仿宋_GB2312" w:hAnsi="仿宋_GB2312" w:eastAsia="仿宋_GB2312" w:cs="仿宋_GB2312"/>
          <w:color w:val="000000"/>
          <w:kern w:val="0"/>
          <w:sz w:val="32"/>
          <w:szCs w:val="32"/>
        </w:rPr>
        <w:t xml:space="preserve">  县级以上人民政府及其有关部门应当加强专利运用工作，支持符合国家和自治区产业政策的专利技术的实施；对自主研发的专利技术产业化项目，应当给予专项资金扶持。</w:t>
      </w:r>
    </w:p>
    <w:p>
      <w:pPr>
        <w:keepNext w:val="0"/>
        <w:keepLines w:val="0"/>
        <w:pageBreakBefore w:val="0"/>
        <w:tabs>
          <w:tab w:val="left" w:pos="5760"/>
        </w:tabs>
        <w:kinsoku/>
        <w:wordWrap/>
        <w:overflowPunct/>
        <w:topLinePunct w:val="0"/>
        <w:bidi w:val="0"/>
        <w:adjustRightInd/>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黑体" w:cs="仿宋_GB2312"/>
          <w:color w:val="000000"/>
          <w:kern w:val="0"/>
          <w:sz w:val="32"/>
          <w:szCs w:val="32"/>
        </w:rPr>
        <w:t>第十六条</w:t>
      </w:r>
      <w:r>
        <w:rPr>
          <w:rFonts w:hint="eastAsia" w:ascii="仿宋_GB2312" w:hAnsi="仿宋_GB2312" w:eastAsia="仿宋_GB2312" w:cs="仿宋_GB2312"/>
          <w:color w:val="000000"/>
          <w:kern w:val="0"/>
          <w:sz w:val="32"/>
          <w:szCs w:val="32"/>
        </w:rPr>
        <w:t xml:space="preserve">  鼓励拥有相关专利技术的单位和个人建立专利联盟，促进专利资源的充分利用。</w:t>
      </w:r>
    </w:p>
    <w:p>
      <w:pPr>
        <w:keepNext w:val="0"/>
        <w:keepLines w:val="0"/>
        <w:pageBreakBefore w:val="0"/>
        <w:tabs>
          <w:tab w:val="left" w:pos="5760"/>
        </w:tabs>
        <w:kinsoku/>
        <w:wordWrap/>
        <w:overflowPunct/>
        <w:topLinePunct w:val="0"/>
        <w:bidi w:val="0"/>
        <w:adjustRightInd/>
        <w:spacing w:line="600" w:lineRule="exact"/>
        <w:ind w:left="0" w:leftChars="0" w:right="0" w:rightChars="0" w:firstLine="640" w:firstLineChars="200"/>
        <w:textAlignment w:val="auto"/>
        <w:outlineLvl w:val="9"/>
        <w:rPr>
          <w:rFonts w:hint="eastAsia" w:ascii="仿宋_GB2312" w:hAnsi="仿宋_GB2312" w:eastAsia="黑体" w:cs="仿宋_GB2312"/>
          <w:color w:val="000000"/>
          <w:sz w:val="32"/>
          <w:szCs w:val="32"/>
        </w:rPr>
      </w:pPr>
      <w:r>
        <w:rPr>
          <w:rFonts w:hint="eastAsia" w:ascii="仿宋_GB2312" w:hAnsi="仿宋_GB2312" w:eastAsia="仿宋_GB2312" w:cs="仿宋_GB2312"/>
          <w:color w:val="000000"/>
          <w:sz w:val="32"/>
          <w:szCs w:val="32"/>
        </w:rPr>
        <w:t>鼓励和支持高等学校、科研机构和企业开展合作，共同研究开发和实施专利技术。</w:t>
      </w:r>
    </w:p>
    <w:p>
      <w:pPr>
        <w:keepNext w:val="0"/>
        <w:keepLines w:val="0"/>
        <w:pageBreakBefore w:val="0"/>
        <w:tabs>
          <w:tab w:val="left" w:pos="5760"/>
        </w:tabs>
        <w:kinsoku/>
        <w:wordWrap/>
        <w:overflowPunct/>
        <w:topLinePunct w:val="0"/>
        <w:bidi w:val="0"/>
        <w:adjustRightInd/>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黑体" w:cs="仿宋_GB2312"/>
          <w:color w:val="000000"/>
          <w:kern w:val="0"/>
          <w:sz w:val="32"/>
          <w:szCs w:val="32"/>
        </w:rPr>
        <w:t>第十七条</w:t>
      </w:r>
      <w:r>
        <w:rPr>
          <w:rFonts w:hint="eastAsia" w:ascii="仿宋_GB2312" w:hAnsi="仿宋_GB2312" w:eastAsia="仿宋_GB2312" w:cs="仿宋_GB2312"/>
          <w:color w:val="000000"/>
          <w:kern w:val="0"/>
          <w:sz w:val="32"/>
          <w:szCs w:val="32"/>
        </w:rPr>
        <w:t xml:space="preserve">  企业事业单位和个人可以依法通过专利申请权转让、专利权转让、专利实施许可或者专利权质押等方式促进专利运用。</w:t>
      </w:r>
    </w:p>
    <w:p>
      <w:pPr>
        <w:keepNext w:val="0"/>
        <w:keepLines w:val="0"/>
        <w:pageBreakBefore w:val="0"/>
        <w:tabs>
          <w:tab w:val="left" w:pos="5760"/>
        </w:tabs>
        <w:kinsoku/>
        <w:wordWrap/>
        <w:overflowPunct/>
        <w:topLinePunct w:val="0"/>
        <w:bidi w:val="0"/>
        <w:adjustRightInd/>
        <w:spacing w:line="600" w:lineRule="exact"/>
        <w:ind w:left="0" w:leftChars="0" w:right="0" w:rightChars="0" w:firstLine="640" w:firstLineChars="200"/>
        <w:textAlignment w:val="auto"/>
        <w:outlineLvl w:val="9"/>
        <w:rPr>
          <w:rFonts w:hint="eastAsia" w:ascii="仿宋_GB2312" w:hAnsi="仿宋_GB2312" w:eastAsia="黑体" w:cs="仿宋_GB2312"/>
          <w:color w:val="000000"/>
          <w:kern w:val="0"/>
          <w:sz w:val="32"/>
          <w:szCs w:val="32"/>
        </w:rPr>
      </w:pPr>
      <w:r>
        <w:rPr>
          <w:rFonts w:hint="eastAsia" w:ascii="仿宋_GB2312" w:hAnsi="仿宋_GB2312" w:eastAsia="仿宋_GB2312" w:cs="仿宋_GB2312"/>
          <w:color w:val="000000"/>
          <w:kern w:val="0"/>
          <w:sz w:val="32"/>
          <w:szCs w:val="32"/>
        </w:rPr>
        <w:t>专利申请权转让、专利权转让和专利实施许可取得的技术性收入，依照有关法律、法规的规定享受税收优惠。</w:t>
      </w:r>
    </w:p>
    <w:p>
      <w:pPr>
        <w:keepNext w:val="0"/>
        <w:keepLines w:val="0"/>
        <w:pageBreakBefore w:val="0"/>
        <w:tabs>
          <w:tab w:val="left" w:pos="5760"/>
        </w:tabs>
        <w:kinsoku/>
        <w:wordWrap/>
        <w:overflowPunct/>
        <w:topLinePunct w:val="0"/>
        <w:bidi w:val="0"/>
        <w:adjustRightInd/>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黑体" w:cs="仿宋_GB2312"/>
          <w:color w:val="000000"/>
          <w:kern w:val="0"/>
          <w:sz w:val="32"/>
          <w:szCs w:val="32"/>
        </w:rPr>
        <w:t>第十八条</w:t>
      </w:r>
      <w:r>
        <w:rPr>
          <w:rFonts w:hint="eastAsia" w:ascii="仿宋_GB2312" w:hAnsi="仿宋_GB2312" w:eastAsia="仿宋_GB2312" w:cs="仿宋_GB2312"/>
          <w:color w:val="000000"/>
          <w:kern w:val="0"/>
          <w:sz w:val="32"/>
          <w:szCs w:val="32"/>
        </w:rPr>
        <w:t xml:space="preserve">  鼓励金融机构开展专利权质押贷款等业务,增加对专利技术产业化项目的信贷投入。</w:t>
      </w:r>
    </w:p>
    <w:p>
      <w:pPr>
        <w:keepNext w:val="0"/>
        <w:keepLines w:val="0"/>
        <w:pageBreakBefore w:val="0"/>
        <w:widowControl/>
        <w:kinsoku/>
        <w:wordWrap/>
        <w:overflowPunct/>
        <w:topLinePunct w:val="0"/>
        <w:bidi w:val="0"/>
        <w:adjustRightInd/>
        <w:spacing w:line="600" w:lineRule="exact"/>
        <w:ind w:left="0" w:leftChars="0" w:right="0" w:rightChars="0" w:firstLine="640" w:firstLineChars="200"/>
        <w:jc w:val="left"/>
        <w:textAlignment w:val="auto"/>
        <w:outlineLvl w:val="9"/>
        <w:rPr>
          <w:rFonts w:hint="eastAsia" w:ascii="仿宋_GB2312" w:hAnsi="仿宋_GB2312" w:eastAsia="黑体" w:cs="仿宋_GB2312"/>
          <w:color w:val="000000"/>
          <w:kern w:val="0"/>
          <w:sz w:val="32"/>
          <w:szCs w:val="32"/>
        </w:rPr>
      </w:pPr>
      <w:r>
        <w:rPr>
          <w:rFonts w:hint="eastAsia" w:ascii="仿宋_GB2312" w:hAnsi="仿宋_GB2312" w:eastAsia="仿宋_GB2312" w:cs="仿宋_GB2312"/>
          <w:color w:val="000000"/>
          <w:kern w:val="0"/>
          <w:sz w:val="32"/>
          <w:szCs w:val="32"/>
        </w:rPr>
        <w:t>鼓励担保机构为专利技术产业化项目提供融资担保。</w:t>
      </w:r>
    </w:p>
    <w:p>
      <w:pPr>
        <w:keepNext w:val="0"/>
        <w:keepLines w:val="0"/>
        <w:pageBreakBefore w:val="0"/>
        <w:widowControl/>
        <w:kinsoku/>
        <w:wordWrap/>
        <w:overflowPunct/>
        <w:topLinePunct w:val="0"/>
        <w:bidi w:val="0"/>
        <w:adjustRightInd/>
        <w:spacing w:line="600" w:lineRule="exact"/>
        <w:ind w:left="0" w:leftChars="0" w:right="0" w:rightChars="0" w:firstLine="640" w:firstLineChars="200"/>
        <w:jc w:val="left"/>
        <w:textAlignment w:val="auto"/>
        <w:outlineLvl w:val="9"/>
        <w:rPr>
          <w:rFonts w:hint="eastAsia" w:ascii="仿宋_GB2312" w:hAnsi="仿宋_GB2312" w:eastAsia="黑体" w:cs="仿宋_GB2312"/>
          <w:color w:val="000000"/>
          <w:kern w:val="0"/>
          <w:sz w:val="32"/>
          <w:szCs w:val="32"/>
        </w:rPr>
      </w:pPr>
      <w:r>
        <w:rPr>
          <w:rFonts w:hint="eastAsia" w:ascii="仿宋_GB2312" w:hAnsi="仿宋_GB2312" w:eastAsia="黑体" w:cs="仿宋_GB2312"/>
          <w:color w:val="000000"/>
          <w:kern w:val="0"/>
          <w:sz w:val="32"/>
          <w:szCs w:val="32"/>
        </w:rPr>
        <w:t>第十九条</w:t>
      </w:r>
      <w:r>
        <w:rPr>
          <w:rFonts w:hint="eastAsia" w:ascii="仿宋_GB2312" w:hAnsi="仿宋_GB2312" w:eastAsia="仿宋_GB2312" w:cs="仿宋_GB2312"/>
          <w:color w:val="000000"/>
          <w:kern w:val="0"/>
          <w:sz w:val="32"/>
          <w:szCs w:val="32"/>
        </w:rPr>
        <w:t xml:space="preserve">  在同等条件下，政府采购应当优先购买专利产品和相关服务，鼓励对专利新产品实行首购或者订购。</w:t>
      </w:r>
    </w:p>
    <w:p>
      <w:pPr>
        <w:keepNext w:val="0"/>
        <w:keepLines w:val="0"/>
        <w:pageBreakBefore w:val="0"/>
        <w:tabs>
          <w:tab w:val="left" w:pos="5760"/>
        </w:tabs>
        <w:kinsoku/>
        <w:wordWrap/>
        <w:overflowPunct/>
        <w:topLinePunct w:val="0"/>
        <w:bidi w:val="0"/>
        <w:adjustRightInd/>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第二十条</w:t>
      </w:r>
      <w:r>
        <w:rPr>
          <w:rFonts w:hint="eastAsia" w:ascii="仿宋_GB2312" w:hAnsi="仿宋_GB2312" w:eastAsia="仿宋_GB2312" w:cs="仿宋_GB2312"/>
          <w:color w:val="000000"/>
          <w:sz w:val="32"/>
          <w:szCs w:val="32"/>
        </w:rPr>
        <w:t xml:space="preserve">  质量技术监督</w:t>
      </w:r>
      <w:r>
        <w:rPr>
          <w:rFonts w:hint="eastAsia" w:ascii="仿宋_GB2312" w:hAnsi="仿宋_GB2312" w:eastAsia="仿宋_GB2312" w:cs="仿宋_GB2312"/>
          <w:color w:val="000000"/>
          <w:kern w:val="0"/>
          <w:sz w:val="32"/>
          <w:szCs w:val="32"/>
        </w:rPr>
        <w:t>和有关行业主管部门，应当引导、帮助拥有</w:t>
      </w:r>
      <w:r>
        <w:rPr>
          <w:rFonts w:hint="eastAsia" w:ascii="仿宋_GB2312" w:hAnsi="仿宋_GB2312" w:eastAsia="仿宋_GB2312" w:cs="仿宋_GB2312"/>
          <w:color w:val="000000"/>
          <w:sz w:val="32"/>
          <w:szCs w:val="32"/>
        </w:rPr>
        <w:t>自主研发</w:t>
      </w:r>
      <w:r>
        <w:rPr>
          <w:rFonts w:hint="eastAsia" w:ascii="仿宋_GB2312" w:hAnsi="仿宋_GB2312" w:eastAsia="仿宋_GB2312" w:cs="仿宋_GB2312"/>
          <w:color w:val="000000"/>
          <w:kern w:val="0"/>
          <w:sz w:val="32"/>
          <w:szCs w:val="32"/>
        </w:rPr>
        <w:t>专利技术的企业事业单位、行业协会制定或者</w:t>
      </w:r>
      <w:r>
        <w:rPr>
          <w:rFonts w:hint="eastAsia" w:ascii="仿宋_GB2312" w:hAnsi="仿宋_GB2312" w:eastAsia="仿宋_GB2312" w:cs="仿宋_GB2312"/>
          <w:color w:val="000000"/>
          <w:sz w:val="32"/>
          <w:szCs w:val="32"/>
        </w:rPr>
        <w:t>参与标准的制定，推动专利技术形成相关标准。</w:t>
      </w:r>
    </w:p>
    <w:p>
      <w:pPr>
        <w:keepNext w:val="0"/>
        <w:keepLines w:val="0"/>
        <w:pageBreakBefore w:val="0"/>
        <w:tabs>
          <w:tab w:val="left" w:pos="5760"/>
        </w:tabs>
        <w:kinsoku/>
        <w:wordWrap/>
        <w:overflowPunct/>
        <w:topLinePunct w:val="0"/>
        <w:bidi w:val="0"/>
        <w:adjustRightInd/>
        <w:snapToGrid w:val="0"/>
        <w:spacing w:line="600" w:lineRule="exact"/>
        <w:ind w:left="0" w:leftChars="0" w:right="0" w:rightChars="0" w:firstLine="640" w:firstLineChars="200"/>
        <w:textAlignment w:val="auto"/>
        <w:outlineLvl w:val="9"/>
        <w:rPr>
          <w:rFonts w:hint="eastAsia" w:ascii="仿宋_GB2312" w:hAnsi="仿宋_GB2312" w:eastAsia="黑体"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专利保护</w:t>
      </w:r>
    </w:p>
    <w:p>
      <w:pPr>
        <w:keepNext w:val="0"/>
        <w:keepLines w:val="0"/>
        <w:pageBreakBefore w:val="0"/>
        <w:tabs>
          <w:tab w:val="left" w:pos="5760"/>
        </w:tabs>
        <w:kinsoku/>
        <w:wordWrap/>
        <w:overflowPunct/>
        <w:topLinePunct w:val="0"/>
        <w:bidi w:val="0"/>
        <w:adjustRightInd/>
        <w:snapToGrid w:val="0"/>
        <w:spacing w:line="600" w:lineRule="exact"/>
        <w:ind w:left="0" w:leftChars="0" w:right="0" w:rightChars="0" w:firstLine="640" w:firstLineChars="200"/>
        <w:textAlignment w:val="auto"/>
        <w:outlineLvl w:val="9"/>
        <w:rPr>
          <w:rFonts w:hint="eastAsia" w:ascii="仿宋_GB2312" w:hAnsi="仿宋_GB2312" w:eastAsia="黑体" w:cs="仿宋_GB2312"/>
          <w:color w:val="000000"/>
          <w:sz w:val="32"/>
          <w:szCs w:val="32"/>
        </w:rPr>
      </w:pPr>
    </w:p>
    <w:p>
      <w:pPr>
        <w:keepNext w:val="0"/>
        <w:keepLines w:val="0"/>
        <w:pageBreakBefore w:val="0"/>
        <w:tabs>
          <w:tab w:val="left" w:pos="5760"/>
        </w:tabs>
        <w:kinsoku/>
        <w:wordWrap/>
        <w:overflowPunct/>
        <w:topLinePunct w:val="0"/>
        <w:bidi w:val="0"/>
        <w:adjustRightInd/>
        <w:snapToGrid w:val="0"/>
        <w:spacing w:line="600" w:lineRule="exact"/>
        <w:ind w:left="0" w:leftChars="0" w:right="0" w:rightChars="0" w:firstLine="640" w:firstLineChars="200"/>
        <w:textAlignment w:val="auto"/>
        <w:outlineLvl w:val="9"/>
        <w:rPr>
          <w:rFonts w:hint="eastAsia" w:ascii="仿宋_GB2312" w:hAnsi="仿宋_GB2312" w:eastAsia="黑体" w:cs="仿宋_GB2312"/>
          <w:color w:val="000000"/>
          <w:sz w:val="32"/>
          <w:szCs w:val="32"/>
        </w:rPr>
      </w:pPr>
      <w:r>
        <w:rPr>
          <w:rFonts w:hint="eastAsia" w:ascii="仿宋_GB2312" w:hAnsi="仿宋_GB2312" w:eastAsia="黑体" w:cs="仿宋_GB2312"/>
          <w:color w:val="000000"/>
          <w:sz w:val="32"/>
          <w:szCs w:val="32"/>
        </w:rPr>
        <w:t>第二十一条</w:t>
      </w:r>
      <w:r>
        <w:rPr>
          <w:rFonts w:hint="eastAsia" w:ascii="仿宋_GB2312" w:hAnsi="仿宋_GB2312" w:eastAsia="仿宋_GB2312" w:cs="仿宋_GB2312"/>
          <w:color w:val="000000"/>
          <w:sz w:val="32"/>
          <w:szCs w:val="32"/>
        </w:rPr>
        <w:t xml:space="preserve">  县级以上人民政府应当建立健全专利保护工作协调机制，统筹协调本行政区域内的专利保护工作，研究解决专利保护工作中的重大问题。</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专利工作部门应当加强执法队伍建设，依法处理专利侵权纠纷、调解专利纠纷，查处假冒专利行为，保护专利权人的合法权益。</w:t>
      </w:r>
    </w:p>
    <w:p>
      <w:pPr>
        <w:keepNext w:val="0"/>
        <w:keepLines w:val="0"/>
        <w:pageBreakBefore w:val="0"/>
        <w:tabs>
          <w:tab w:val="left" w:pos="5760"/>
        </w:tabs>
        <w:kinsoku/>
        <w:wordWrap/>
        <w:overflowPunct/>
        <w:topLinePunct w:val="0"/>
        <w:bidi w:val="0"/>
        <w:adjustRightInd/>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第二十二条</w:t>
      </w:r>
      <w:r>
        <w:rPr>
          <w:rFonts w:hint="eastAsia" w:ascii="仿宋_GB2312" w:hAnsi="仿宋_GB2312" w:eastAsia="仿宋_GB2312" w:cs="仿宋_GB2312"/>
          <w:color w:val="000000"/>
          <w:sz w:val="32"/>
          <w:szCs w:val="32"/>
        </w:rPr>
        <w:t xml:space="preserve">  自治区专利工作部门负责调解和处理在自治区内有重大影响和跨地区的专利纠纷，查处有重大影响的假冒专利行为。</w:t>
      </w:r>
    </w:p>
    <w:p>
      <w:pPr>
        <w:keepNext w:val="0"/>
        <w:keepLines w:val="0"/>
        <w:pageBreakBefore w:val="0"/>
        <w:tabs>
          <w:tab w:val="left" w:pos="5760"/>
        </w:tabs>
        <w:kinsoku/>
        <w:wordWrap/>
        <w:overflowPunct/>
        <w:topLinePunct w:val="0"/>
        <w:bidi w:val="0"/>
        <w:adjustRightInd/>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州、市（地）专利工作部门负责调解和处理本行政区域内的专利纠纷，查处假冒专利行为。</w:t>
      </w:r>
    </w:p>
    <w:p>
      <w:pPr>
        <w:keepNext w:val="0"/>
        <w:keepLines w:val="0"/>
        <w:pageBreakBefore w:val="0"/>
        <w:tabs>
          <w:tab w:val="left" w:pos="5760"/>
        </w:tabs>
        <w:kinsoku/>
        <w:wordWrap/>
        <w:overflowPunct/>
        <w:topLinePunct w:val="0"/>
        <w:bidi w:val="0"/>
        <w:adjustRightInd/>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县（市、区）专利工作部门负责调解本行政区域内的专利纠纷，查处假冒专利行为。</w:t>
      </w:r>
    </w:p>
    <w:p>
      <w:pPr>
        <w:keepNext w:val="0"/>
        <w:keepLines w:val="0"/>
        <w:pageBreakBefore w:val="0"/>
        <w:tabs>
          <w:tab w:val="left" w:pos="5760"/>
        </w:tabs>
        <w:kinsoku/>
        <w:wordWrap/>
        <w:overflowPunct/>
        <w:topLinePunct w:val="0"/>
        <w:bidi w:val="0"/>
        <w:adjustRightInd/>
        <w:snapToGrid w:val="0"/>
        <w:spacing w:line="600" w:lineRule="exact"/>
        <w:ind w:left="0" w:leftChars="0" w:right="0" w:rightChars="0" w:firstLine="640" w:firstLineChars="200"/>
        <w:textAlignment w:val="auto"/>
        <w:outlineLvl w:val="9"/>
        <w:rPr>
          <w:rFonts w:hint="eastAsia" w:ascii="仿宋_GB2312" w:hAnsi="仿宋_GB2312" w:eastAsia="黑体" w:cs="仿宋_GB2312"/>
          <w:color w:val="000000"/>
          <w:sz w:val="32"/>
          <w:szCs w:val="32"/>
        </w:rPr>
      </w:pPr>
      <w:r>
        <w:rPr>
          <w:rFonts w:hint="eastAsia" w:ascii="仿宋_GB2312" w:hAnsi="仿宋_GB2312" w:eastAsia="仿宋_GB2312" w:cs="仿宋_GB2312"/>
          <w:color w:val="000000"/>
          <w:sz w:val="32"/>
          <w:szCs w:val="32"/>
        </w:rPr>
        <w:t>调解和处理专利侵权纠纷、查处假冒专利行为，应当有持有国务院专利行政部门或者自治区人民政府颁发的行政执法证件的人员参加。</w:t>
      </w:r>
    </w:p>
    <w:p>
      <w:pPr>
        <w:keepNext w:val="0"/>
        <w:keepLines w:val="0"/>
        <w:pageBreakBefore w:val="0"/>
        <w:widowControl/>
        <w:kinsoku/>
        <w:wordWrap/>
        <w:overflowPunct/>
        <w:topLinePunct w:val="0"/>
        <w:bidi w:val="0"/>
        <w:adjustRightInd/>
        <w:spacing w:line="600" w:lineRule="exact"/>
        <w:ind w:left="0" w:leftChars="0" w:right="0" w:rightChars="0" w:firstLine="640" w:firstLineChars="200"/>
        <w:textAlignment w:val="auto"/>
        <w:outlineLvl w:val="9"/>
        <w:rPr>
          <w:rFonts w:hint="eastAsia" w:ascii="仿宋_GB2312" w:hAnsi="仿宋_GB2312" w:eastAsia="黑体" w:cs="仿宋_GB2312"/>
          <w:color w:val="000000"/>
          <w:kern w:val="0"/>
          <w:sz w:val="32"/>
          <w:szCs w:val="32"/>
        </w:rPr>
      </w:pPr>
      <w:r>
        <w:rPr>
          <w:rFonts w:hint="eastAsia" w:ascii="仿宋_GB2312" w:hAnsi="仿宋_GB2312" w:eastAsia="黑体" w:cs="仿宋_GB2312"/>
          <w:color w:val="000000"/>
          <w:kern w:val="0"/>
          <w:sz w:val="32"/>
          <w:szCs w:val="32"/>
        </w:rPr>
        <w:t>第二十三条</w:t>
      </w:r>
      <w:r>
        <w:rPr>
          <w:rFonts w:hint="eastAsia" w:ascii="仿宋_GB2312" w:hAnsi="仿宋_GB2312" w:eastAsia="仿宋_GB2312" w:cs="仿宋_GB2312"/>
          <w:color w:val="000000"/>
          <w:kern w:val="0"/>
          <w:sz w:val="32"/>
          <w:szCs w:val="32"/>
        </w:rPr>
        <w:t xml:space="preserve">  任何单位或者个人不得非法实施他人专利，不得假冒专利，不得为非法实施他人专利和假冒专利提供运输、展示、广告、仓储、邮寄和隐匿等便利条件。</w:t>
      </w:r>
    </w:p>
    <w:p>
      <w:pPr>
        <w:keepNext w:val="0"/>
        <w:keepLines w:val="0"/>
        <w:pageBreakBefore w:val="0"/>
        <w:widowControl/>
        <w:kinsoku/>
        <w:wordWrap/>
        <w:overflowPunct/>
        <w:topLinePunct w:val="0"/>
        <w:bidi w:val="0"/>
        <w:adjustRightInd/>
        <w:spacing w:line="600" w:lineRule="exact"/>
        <w:ind w:left="0" w:leftChars="0" w:right="0" w:rightChars="0" w:firstLine="640" w:firstLineChars="200"/>
        <w:textAlignment w:val="auto"/>
        <w:outlineLvl w:val="9"/>
        <w:rPr>
          <w:rFonts w:hint="eastAsia" w:ascii="仿宋_GB2312" w:hAnsi="仿宋_GB2312" w:eastAsia="黑体" w:cs="仿宋_GB2312"/>
          <w:color w:val="000000"/>
          <w:kern w:val="0"/>
          <w:sz w:val="32"/>
          <w:szCs w:val="32"/>
        </w:rPr>
      </w:pPr>
      <w:r>
        <w:rPr>
          <w:rFonts w:hint="eastAsia" w:ascii="仿宋_GB2312" w:hAnsi="仿宋_GB2312" w:eastAsia="黑体" w:cs="仿宋_GB2312"/>
          <w:color w:val="000000"/>
          <w:kern w:val="0"/>
          <w:sz w:val="32"/>
          <w:szCs w:val="32"/>
        </w:rPr>
        <w:t>第二十四条</w:t>
      </w:r>
      <w:r>
        <w:rPr>
          <w:rFonts w:hint="eastAsia" w:ascii="仿宋_GB2312" w:hAnsi="仿宋_GB2312" w:eastAsia="仿宋_GB2312" w:cs="仿宋_GB2312"/>
          <w:color w:val="000000"/>
          <w:kern w:val="0"/>
          <w:sz w:val="32"/>
          <w:szCs w:val="32"/>
        </w:rPr>
        <w:t xml:space="preserve">   任何单位和个人有权向专利工作部门举报专利违法行为，接受举报的专利工作部门应当及时调查处理，在五个工作日内予以答复；专利工作部门对于查证属实的举报给予奖励，并为举报人保密。</w:t>
      </w:r>
    </w:p>
    <w:p>
      <w:pPr>
        <w:keepNext w:val="0"/>
        <w:keepLines w:val="0"/>
        <w:pageBreakBefore w:val="0"/>
        <w:widowControl/>
        <w:kinsoku/>
        <w:wordWrap/>
        <w:overflowPunct/>
        <w:topLinePunct w:val="0"/>
        <w:bidi w:val="0"/>
        <w:adjustRightInd/>
        <w:spacing w:line="600" w:lineRule="exact"/>
        <w:ind w:left="0" w:leftChars="0" w:right="0" w:rightChars="0" w:firstLine="640" w:firstLineChars="200"/>
        <w:textAlignment w:val="auto"/>
        <w:outlineLvl w:val="9"/>
        <w:rPr>
          <w:rFonts w:hint="eastAsia" w:ascii="仿宋_GB2312" w:hAnsi="仿宋_GB2312" w:eastAsia="黑体" w:cs="仿宋_GB2312"/>
          <w:color w:val="000000"/>
          <w:kern w:val="0"/>
          <w:sz w:val="32"/>
          <w:szCs w:val="32"/>
        </w:rPr>
      </w:pPr>
      <w:r>
        <w:rPr>
          <w:rFonts w:hint="eastAsia" w:ascii="仿宋_GB2312" w:hAnsi="仿宋_GB2312" w:eastAsia="黑体" w:cs="仿宋_GB2312"/>
          <w:color w:val="000000"/>
          <w:kern w:val="0"/>
          <w:sz w:val="32"/>
          <w:szCs w:val="32"/>
        </w:rPr>
        <w:t>第二十五条</w:t>
      </w:r>
      <w:r>
        <w:rPr>
          <w:rFonts w:hint="eastAsia" w:ascii="仿宋_GB2312" w:hAnsi="仿宋_GB2312" w:eastAsia="仿宋_GB2312" w:cs="仿宋_GB2312"/>
          <w:color w:val="000000"/>
          <w:kern w:val="0"/>
          <w:sz w:val="32"/>
          <w:szCs w:val="32"/>
        </w:rPr>
        <w:t xml:space="preserve">  专利工作部门处理专利纠纷案件，可以根据双方当事人的意愿进行调解。经调解，双方当事人达成一致的，专利工作部门应当制作调解协议书，并由双方当事人签名或者盖章；调解不成的，应当终止调解，并作出处理决定。</w:t>
      </w:r>
    </w:p>
    <w:p>
      <w:pPr>
        <w:keepNext w:val="0"/>
        <w:keepLines w:val="0"/>
        <w:pageBreakBefore w:val="0"/>
        <w:widowControl/>
        <w:kinsoku/>
        <w:wordWrap/>
        <w:overflowPunct/>
        <w:topLinePunct w:val="0"/>
        <w:bidi w:val="0"/>
        <w:adjustRightInd/>
        <w:spacing w:line="600" w:lineRule="exact"/>
        <w:ind w:left="0" w:leftChars="0" w:right="0" w:rightChars="0" w:firstLine="640" w:firstLineChars="200"/>
        <w:textAlignment w:val="auto"/>
        <w:outlineLvl w:val="9"/>
        <w:rPr>
          <w:rFonts w:hint="eastAsia" w:ascii="仿宋_GB2312" w:hAnsi="仿宋_GB2312" w:eastAsia="黑体" w:cs="仿宋_GB2312"/>
          <w:color w:val="000000"/>
          <w:kern w:val="0"/>
          <w:sz w:val="32"/>
          <w:szCs w:val="32"/>
        </w:rPr>
      </w:pPr>
      <w:r>
        <w:rPr>
          <w:rFonts w:hint="eastAsia" w:ascii="仿宋_GB2312" w:hAnsi="仿宋_GB2312" w:eastAsia="黑体" w:cs="仿宋_GB2312"/>
          <w:color w:val="000000"/>
          <w:kern w:val="0"/>
          <w:sz w:val="32"/>
          <w:szCs w:val="32"/>
        </w:rPr>
        <w:t>第二十六条</w:t>
      </w:r>
      <w:r>
        <w:rPr>
          <w:rFonts w:hint="eastAsia" w:ascii="仿宋_GB2312" w:hAnsi="仿宋_GB2312" w:eastAsia="仿宋_GB2312" w:cs="仿宋_GB2312"/>
          <w:color w:val="000000"/>
          <w:kern w:val="0"/>
          <w:sz w:val="32"/>
          <w:szCs w:val="32"/>
        </w:rPr>
        <w:t xml:space="preserve"> 专利工作部门作出侵权处理决定，或者人民法院作出判决后，侵权人对同一专利权再次作出相同的侵权行为，专利权人或者利害关系人请求专利工作部门处理的，专利工作部门应当依法直接作出责令立即停止侵权行为的处理决定。</w:t>
      </w:r>
    </w:p>
    <w:p>
      <w:pPr>
        <w:keepNext w:val="0"/>
        <w:keepLines w:val="0"/>
        <w:pageBreakBefore w:val="0"/>
        <w:tabs>
          <w:tab w:val="left" w:pos="5760"/>
        </w:tabs>
        <w:kinsoku/>
        <w:wordWrap/>
        <w:overflowPunct/>
        <w:topLinePunct w:val="0"/>
        <w:bidi w:val="0"/>
        <w:adjustRightInd/>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黑体" w:cs="仿宋_GB2312"/>
          <w:bCs/>
          <w:color w:val="000000"/>
          <w:sz w:val="32"/>
          <w:szCs w:val="32"/>
        </w:rPr>
        <w:t>第二十七条</w:t>
      </w:r>
      <w:r>
        <w:rPr>
          <w:rFonts w:hint="eastAsia" w:ascii="仿宋_GB2312" w:hAnsi="仿宋_GB2312" w:eastAsia="仿宋_GB2312" w:cs="仿宋_GB2312"/>
          <w:bCs/>
          <w:color w:val="000000"/>
          <w:sz w:val="32"/>
          <w:szCs w:val="32"/>
        </w:rPr>
        <w:t xml:space="preserve">  </w:t>
      </w:r>
      <w:r>
        <w:rPr>
          <w:rFonts w:hint="eastAsia" w:ascii="仿宋_GB2312" w:hAnsi="仿宋_GB2312" w:eastAsia="仿宋_GB2312" w:cs="仿宋_GB2312"/>
          <w:sz w:val="32"/>
          <w:szCs w:val="32"/>
        </w:rPr>
        <w:t>展览会、展销会、博览会、交易会、展示会等</w:t>
      </w:r>
      <w:r>
        <w:rPr>
          <w:rFonts w:hint="eastAsia" w:ascii="仿宋_GB2312" w:hAnsi="仿宋_GB2312" w:eastAsia="仿宋_GB2312" w:cs="仿宋_GB2312"/>
          <w:color w:val="000000"/>
          <w:sz w:val="32"/>
          <w:szCs w:val="32"/>
        </w:rPr>
        <w:t>会展主办方，</w:t>
      </w:r>
      <w:r>
        <w:rPr>
          <w:rFonts w:hint="eastAsia" w:ascii="仿宋_GB2312" w:hAnsi="仿宋_GB2312" w:eastAsia="仿宋_GB2312" w:cs="仿宋_GB2312"/>
          <w:color w:val="000000"/>
          <w:kern w:val="0"/>
          <w:sz w:val="32"/>
          <w:szCs w:val="32"/>
        </w:rPr>
        <w:t>应当</w:t>
      </w:r>
      <w:r>
        <w:rPr>
          <w:rFonts w:hint="eastAsia" w:ascii="仿宋_GB2312" w:hAnsi="仿宋_GB2312" w:eastAsia="仿宋_GB2312" w:cs="仿宋_GB2312"/>
          <w:color w:val="000000"/>
          <w:sz w:val="32"/>
          <w:szCs w:val="32"/>
        </w:rPr>
        <w:t>与参展方</w:t>
      </w:r>
      <w:r>
        <w:rPr>
          <w:rFonts w:hint="eastAsia" w:ascii="仿宋_GB2312" w:hAnsi="仿宋_GB2312" w:eastAsia="仿宋_GB2312" w:cs="仿宋_GB2312"/>
          <w:color w:val="000000"/>
          <w:kern w:val="0"/>
          <w:sz w:val="32"/>
          <w:szCs w:val="32"/>
        </w:rPr>
        <w:t>在参展协议中约定参展的专利产品、专利技术不得侵犯他人专利权、不得假冒专利。</w:t>
      </w:r>
    </w:p>
    <w:p>
      <w:pPr>
        <w:keepNext w:val="0"/>
        <w:keepLines w:val="0"/>
        <w:pageBreakBefore w:val="0"/>
        <w:tabs>
          <w:tab w:val="left" w:pos="5760"/>
        </w:tabs>
        <w:kinsoku/>
        <w:wordWrap/>
        <w:overflowPunct/>
        <w:topLinePunct w:val="0"/>
        <w:bidi w:val="0"/>
        <w:adjustRightInd/>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对标有专利标识的产品或者技术，会展主办方应当查验其专利权有效证明或者专利许可合同；未提供专利权有效证明或者专利许可合同的，会展主办方应当拒绝其以专利产品、专利技术的名义参展。</w:t>
      </w:r>
    </w:p>
    <w:p>
      <w:pPr>
        <w:keepNext w:val="0"/>
        <w:keepLines w:val="0"/>
        <w:pageBreakBefore w:val="0"/>
        <w:tabs>
          <w:tab w:val="left" w:pos="5760"/>
        </w:tabs>
        <w:kinsoku/>
        <w:wordWrap/>
        <w:overflowPunct/>
        <w:topLinePunct w:val="0"/>
        <w:bidi w:val="0"/>
        <w:adjustRightInd/>
        <w:snapToGrid w:val="0"/>
        <w:spacing w:line="600" w:lineRule="exact"/>
        <w:ind w:left="0" w:leftChars="0" w:right="0" w:rightChars="0" w:firstLine="640" w:firstLineChars="200"/>
        <w:textAlignment w:val="auto"/>
        <w:outlineLvl w:val="9"/>
        <w:rPr>
          <w:rFonts w:hint="eastAsia" w:ascii="仿宋_GB2312" w:hAnsi="仿宋_GB2312" w:eastAsia="黑体" w:cs="仿宋_GB2312"/>
          <w:color w:val="000000"/>
          <w:sz w:val="32"/>
          <w:szCs w:val="32"/>
          <w:bdr w:val="single" w:color="auto" w:sz="4" w:space="0"/>
          <w:shd w:val="pct10" w:color="auto" w:fill="FFFFFF"/>
        </w:rPr>
      </w:pPr>
      <w:r>
        <w:rPr>
          <w:rFonts w:hint="eastAsia" w:ascii="仿宋_GB2312" w:hAnsi="仿宋_GB2312" w:eastAsia="仿宋_GB2312" w:cs="仿宋_GB2312"/>
          <w:color w:val="000000"/>
          <w:sz w:val="32"/>
          <w:szCs w:val="32"/>
        </w:rPr>
        <w:t>专利工作部门应当派员对参展的专利产品、专利技术依法进行监督检查。</w:t>
      </w:r>
    </w:p>
    <w:p>
      <w:pPr>
        <w:keepNext w:val="0"/>
        <w:keepLines w:val="0"/>
        <w:pageBreakBefore w:val="0"/>
        <w:tabs>
          <w:tab w:val="left" w:pos="5760"/>
        </w:tabs>
        <w:kinsoku/>
        <w:wordWrap/>
        <w:overflowPunct/>
        <w:topLinePunct w:val="0"/>
        <w:bidi w:val="0"/>
        <w:adjustRightInd/>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第二十八条</w:t>
      </w:r>
      <w:r>
        <w:rPr>
          <w:rFonts w:hint="eastAsia" w:ascii="仿宋_GB2312" w:hAnsi="仿宋_GB2312" w:eastAsia="仿宋_GB2312" w:cs="仿宋_GB2312"/>
          <w:color w:val="000000"/>
          <w:sz w:val="32"/>
          <w:szCs w:val="32"/>
        </w:rPr>
        <w:t xml:space="preserve">  专利工作部门应当建立和完善专利信用公示制度，对查证属实、认定为专利侵权行为和假冒专利行为的，应当定期向社会公布。</w:t>
      </w:r>
    </w:p>
    <w:p>
      <w:pPr>
        <w:keepNext w:val="0"/>
        <w:keepLines w:val="0"/>
        <w:pageBreakBefore w:val="0"/>
        <w:tabs>
          <w:tab w:val="left" w:pos="5760"/>
        </w:tabs>
        <w:kinsoku/>
        <w:wordWrap/>
        <w:overflowPunct/>
        <w:topLinePunct w:val="0"/>
        <w:bidi w:val="0"/>
        <w:adjustRightInd/>
        <w:spacing w:line="600" w:lineRule="exact"/>
        <w:ind w:left="0" w:leftChars="0" w:right="0" w:rightChars="0" w:firstLine="640" w:firstLineChars="200"/>
        <w:jc w:val="center"/>
        <w:textAlignment w:val="auto"/>
        <w:outlineLvl w:val="9"/>
        <w:rPr>
          <w:rFonts w:hint="eastAsia" w:ascii="仿宋_GB2312" w:hAnsi="仿宋_GB2312" w:eastAsia="黑体"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专利管理</w:t>
      </w:r>
    </w:p>
    <w:p>
      <w:pPr>
        <w:keepNext w:val="0"/>
        <w:keepLines w:val="0"/>
        <w:pageBreakBefore w:val="0"/>
        <w:tabs>
          <w:tab w:val="left" w:pos="5760"/>
        </w:tabs>
        <w:kinsoku/>
        <w:wordWrap/>
        <w:overflowPunct/>
        <w:topLinePunct w:val="0"/>
        <w:bidi w:val="0"/>
        <w:adjustRightInd/>
        <w:spacing w:line="600" w:lineRule="exact"/>
        <w:ind w:left="0" w:leftChars="0" w:right="0" w:rightChars="0" w:firstLine="640" w:firstLineChars="200"/>
        <w:jc w:val="center"/>
        <w:textAlignment w:val="auto"/>
        <w:outlineLvl w:val="9"/>
        <w:rPr>
          <w:rFonts w:hint="eastAsia" w:ascii="仿宋_GB2312" w:hAnsi="仿宋_GB2312" w:eastAsia="黑体" w:cs="仿宋_GB2312"/>
          <w:color w:val="000000"/>
          <w:sz w:val="32"/>
          <w:szCs w:val="32"/>
        </w:rPr>
      </w:pPr>
    </w:p>
    <w:p>
      <w:pPr>
        <w:keepNext w:val="0"/>
        <w:keepLines w:val="0"/>
        <w:pageBreakBefore w:val="0"/>
        <w:widowControl/>
        <w:kinsoku/>
        <w:wordWrap/>
        <w:overflowPunct/>
        <w:topLinePunct w:val="0"/>
        <w:bidi w:val="0"/>
        <w:adjustRightInd/>
        <w:spacing w:line="600" w:lineRule="exact"/>
        <w:ind w:left="0" w:leftChars="0" w:right="0" w:rightChars="0" w:firstLine="640" w:firstLineChars="200"/>
        <w:jc w:val="left"/>
        <w:textAlignment w:val="auto"/>
        <w:outlineLvl w:val="9"/>
        <w:rPr>
          <w:rFonts w:hint="eastAsia" w:ascii="仿宋_GB2312" w:hAnsi="仿宋_GB2312" w:eastAsia="黑体" w:cs="仿宋_GB2312"/>
          <w:color w:val="000000"/>
          <w:sz w:val="32"/>
          <w:szCs w:val="32"/>
        </w:rPr>
      </w:pPr>
      <w:r>
        <w:rPr>
          <w:rFonts w:hint="eastAsia" w:ascii="仿宋_GB2312" w:hAnsi="仿宋_GB2312" w:eastAsia="黑体" w:cs="仿宋_GB2312"/>
          <w:color w:val="000000"/>
          <w:kern w:val="0"/>
          <w:sz w:val="32"/>
          <w:szCs w:val="32"/>
        </w:rPr>
        <w:t>第二十九条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sz w:val="32"/>
          <w:szCs w:val="32"/>
        </w:rPr>
        <w:t>县级以上人民政府及其有关部门应当将专利指标纳入科技计划实施评价体系、国有企业绩效考核体系和高等学校、科研机构等单位科研绩效考核体系。</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发展改革、科学技术、经济和信息化等有关部门应当将专利权拥有数量、质量作为科学技术园区、企业技术中心、工程(技术)研究中心、高新技术企业、创新型企业等认定和考核的重要指标。</w:t>
      </w:r>
    </w:p>
    <w:p>
      <w:pPr>
        <w:keepNext w:val="0"/>
        <w:keepLines w:val="0"/>
        <w:pageBreakBefore w:val="0"/>
        <w:tabs>
          <w:tab w:val="left" w:pos="5760"/>
        </w:tabs>
        <w:kinsoku/>
        <w:wordWrap/>
        <w:overflowPunct/>
        <w:topLinePunct w:val="0"/>
        <w:bidi w:val="0"/>
        <w:adjustRightInd/>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color w:val="000000"/>
          <w:sz w:val="32"/>
          <w:szCs w:val="32"/>
        </w:rPr>
        <w:t>第三十条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sz w:val="32"/>
          <w:szCs w:val="32"/>
        </w:rPr>
        <w:t>县级以上人民政府及其有关部门应当建立重大经济活动专利审议机制，防止技术的盲目引进、重复研发、流失或者侵犯、滥用专利权。</w:t>
      </w:r>
    </w:p>
    <w:p>
      <w:pPr>
        <w:keepNext w:val="0"/>
        <w:keepLines w:val="0"/>
        <w:pageBreakBefore w:val="0"/>
        <w:tabs>
          <w:tab w:val="left" w:pos="5760"/>
        </w:tabs>
        <w:kinsoku/>
        <w:wordWrap/>
        <w:overflowPunct/>
        <w:topLinePunct w:val="0"/>
        <w:bidi w:val="0"/>
        <w:adjustRightInd/>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sz w:val="32"/>
          <w:szCs w:val="32"/>
        </w:rPr>
        <w:t>下列项目涉及专利技术的，审批立项时应当会同专利工作部门进行专利审议：</w:t>
      </w:r>
      <w:r>
        <w:rPr>
          <w:rFonts w:hint="eastAsia" w:ascii="仿宋_GB2312" w:hAnsi="仿宋_GB2312" w:eastAsia="仿宋_GB2312" w:cs="仿宋_GB2312"/>
          <w:color w:val="000000"/>
          <w:sz w:val="32"/>
          <w:szCs w:val="32"/>
          <w:bdr w:val="single" w:color="auto" w:sz="4" w:space="0"/>
          <w:shd w:val="pct10" w:color="auto" w:fill="FFFFFF"/>
        </w:rPr>
        <w:br w:type="textWrapping"/>
      </w:r>
      <w:r>
        <w:rPr>
          <w:rFonts w:hint="eastAsia" w:ascii="仿宋_GB2312" w:hAnsi="仿宋_GB2312" w:eastAsia="仿宋_GB2312" w:cs="仿宋_GB2312"/>
          <w:color w:val="000000"/>
          <w:sz w:val="32"/>
          <w:szCs w:val="32"/>
        </w:rPr>
        <w:t>　　(一)政府审批或核准的重大经济建设项目；</w:t>
      </w:r>
    </w:p>
    <w:p>
      <w:pPr>
        <w:keepNext w:val="0"/>
        <w:keepLines w:val="0"/>
        <w:pageBreakBefore w:val="0"/>
        <w:tabs>
          <w:tab w:val="left" w:pos="5760"/>
        </w:tabs>
        <w:kinsoku/>
        <w:wordWrap/>
        <w:overflowPunct/>
        <w:topLinePunct w:val="0"/>
        <w:bidi w:val="0"/>
        <w:adjustRightInd/>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（二）政府资助的重大科学技术研究、推广项目及重大技术改造项目；</w:t>
      </w:r>
    </w:p>
    <w:p>
      <w:pPr>
        <w:keepNext w:val="0"/>
        <w:keepLines w:val="0"/>
        <w:pageBreakBefore w:val="0"/>
        <w:tabs>
          <w:tab w:val="left" w:pos="5760"/>
        </w:tabs>
        <w:kinsoku/>
        <w:wordWrap/>
        <w:overflowPunct/>
        <w:topLinePunct w:val="0"/>
        <w:bidi w:val="0"/>
        <w:adjustRightInd/>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(三)国有及国有控股企业并购、重组、转让项目；</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(四)技术出口项目；</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(五)科技成果产业化项目；</w:t>
      </w:r>
    </w:p>
    <w:p>
      <w:pPr>
        <w:keepNext w:val="0"/>
        <w:keepLines w:val="0"/>
        <w:pageBreakBefore w:val="0"/>
        <w:tabs>
          <w:tab w:val="left" w:pos="5760"/>
        </w:tabs>
        <w:kinsoku/>
        <w:wordWrap/>
        <w:overflowPunct/>
        <w:topLinePunct w:val="0"/>
        <w:bidi w:val="0"/>
        <w:adjustRightInd/>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（六）其他对本地区经济社会发展和公共利益具有重大影响的涉及专利的项目。</w:t>
      </w:r>
    </w:p>
    <w:p>
      <w:pPr>
        <w:keepNext w:val="0"/>
        <w:keepLines w:val="0"/>
        <w:pageBreakBefore w:val="0"/>
        <w:tabs>
          <w:tab w:val="left" w:pos="5760"/>
        </w:tabs>
        <w:kinsoku/>
        <w:wordWrap/>
        <w:overflowPunct/>
        <w:topLinePunct w:val="0"/>
        <w:bidi w:val="0"/>
        <w:adjustRightInd/>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专利审议应当包括专利数量、法律状态、权利所属、技术风险、技术高度及专利价值等内容。</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w:t>
      </w:r>
      <w:r>
        <w:rPr>
          <w:rFonts w:hint="eastAsia" w:ascii="仿宋_GB2312" w:hAnsi="仿宋_GB2312" w:eastAsia="仿宋_GB2312" w:cs="仿宋_GB2312"/>
          <w:sz w:val="32"/>
          <w:szCs w:val="32"/>
          <w:lang w:eastAsia="zh-CN"/>
        </w:rPr>
        <w:t>第三十一条</w:t>
      </w:r>
      <w:r>
        <w:rPr>
          <w:rFonts w:hint="eastAsia" w:ascii="仿宋_GB2312" w:hAnsi="仿宋_GB2312" w:eastAsia="仿宋_GB2312" w:cs="仿宋_GB2312"/>
          <w:bCs/>
          <w:color w:val="000000"/>
          <w:sz w:val="32"/>
          <w:szCs w:val="32"/>
        </w:rPr>
        <w:t xml:space="preserve">  </w:t>
      </w:r>
      <w:r>
        <w:rPr>
          <w:rFonts w:hint="eastAsia" w:ascii="仿宋_GB2312" w:hAnsi="仿宋_GB2312" w:eastAsia="仿宋_GB2312" w:cs="仿宋_GB2312"/>
          <w:color w:val="000000"/>
          <w:sz w:val="32"/>
          <w:szCs w:val="32"/>
        </w:rPr>
        <w:t>国有资产占有单位有下列情形之一的，应当委托具有法定资质的资产评估机构</w:t>
      </w:r>
      <w:r>
        <w:rPr>
          <w:rFonts w:hint="eastAsia" w:ascii="仿宋_GB2312" w:hAnsi="仿宋_GB2312" w:eastAsia="仿宋_GB2312" w:cs="仿宋_GB2312"/>
          <w:color w:val="000000"/>
          <w:kern w:val="0"/>
          <w:sz w:val="32"/>
          <w:szCs w:val="32"/>
        </w:rPr>
        <w:t>按照国家有关规定</w:t>
      </w:r>
      <w:r>
        <w:rPr>
          <w:rFonts w:hint="eastAsia" w:ascii="仿宋_GB2312" w:hAnsi="仿宋_GB2312" w:eastAsia="仿宋_GB2312" w:cs="仿宋_GB2312"/>
          <w:color w:val="000000"/>
          <w:sz w:val="32"/>
          <w:szCs w:val="32"/>
        </w:rPr>
        <w:t>进行专利资产评估：</w:t>
      </w:r>
    </w:p>
    <w:p>
      <w:pPr>
        <w:keepNext w:val="0"/>
        <w:keepLines w:val="0"/>
        <w:pageBreakBefore w:val="0"/>
        <w:tabs>
          <w:tab w:val="left" w:pos="5760"/>
        </w:tabs>
        <w:kinsoku/>
        <w:wordWrap/>
        <w:overflowPunct/>
        <w:topLinePunct w:val="0"/>
        <w:bidi w:val="0"/>
        <w:adjustRightInd/>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（一）转让专利申请权、专利权的；</w:t>
      </w:r>
    </w:p>
    <w:p>
      <w:pPr>
        <w:keepNext w:val="0"/>
        <w:keepLines w:val="0"/>
        <w:pageBreakBefore w:val="0"/>
        <w:tabs>
          <w:tab w:val="left" w:pos="5760"/>
        </w:tabs>
        <w:kinsoku/>
        <w:wordWrap/>
        <w:overflowPunct/>
        <w:topLinePunct w:val="0"/>
        <w:bidi w:val="0"/>
        <w:adjustRightInd/>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（二）以专利技术作价投资的；</w:t>
      </w:r>
    </w:p>
    <w:p>
      <w:pPr>
        <w:keepNext w:val="0"/>
        <w:keepLines w:val="0"/>
        <w:pageBreakBefore w:val="0"/>
        <w:tabs>
          <w:tab w:val="left" w:pos="5760"/>
        </w:tabs>
        <w:kinsoku/>
        <w:wordWrap/>
        <w:overflowPunct/>
        <w:topLinePunct w:val="0"/>
        <w:bidi w:val="0"/>
        <w:adjustRightInd/>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（三）以专利权质押担保的；</w:t>
      </w:r>
    </w:p>
    <w:p>
      <w:pPr>
        <w:keepNext w:val="0"/>
        <w:keepLines w:val="0"/>
        <w:pageBreakBefore w:val="0"/>
        <w:tabs>
          <w:tab w:val="left" w:pos="5760"/>
        </w:tabs>
        <w:kinsoku/>
        <w:wordWrap/>
        <w:overflowPunct/>
        <w:topLinePunct w:val="0"/>
        <w:bidi w:val="0"/>
        <w:adjustRightInd/>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（四）引进、输出专利技术或者专利产品的；</w:t>
      </w:r>
    </w:p>
    <w:p>
      <w:pPr>
        <w:keepNext w:val="0"/>
        <w:keepLines w:val="0"/>
        <w:pageBreakBefore w:val="0"/>
        <w:tabs>
          <w:tab w:val="left" w:pos="5760"/>
        </w:tabs>
        <w:kinsoku/>
        <w:wordWrap/>
        <w:overflowPunct/>
        <w:topLinePunct w:val="0"/>
        <w:bidi w:val="0"/>
        <w:adjustRightInd/>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（五）合并、分立、改制、上市、重组和破产等涉及专利资产的；</w:t>
      </w:r>
    </w:p>
    <w:p>
      <w:pPr>
        <w:keepNext w:val="0"/>
        <w:keepLines w:val="0"/>
        <w:pageBreakBefore w:val="0"/>
        <w:tabs>
          <w:tab w:val="left" w:pos="5760"/>
        </w:tabs>
        <w:kinsoku/>
        <w:wordWrap/>
        <w:overflowPunct/>
        <w:topLinePunct w:val="0"/>
        <w:bidi w:val="0"/>
        <w:adjustRightInd/>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（六）法律、法规规定的其他情形。</w:t>
      </w:r>
    </w:p>
    <w:p>
      <w:pPr>
        <w:keepNext w:val="0"/>
        <w:keepLines w:val="0"/>
        <w:pageBreakBefore w:val="0"/>
        <w:tabs>
          <w:tab w:val="left" w:pos="5760"/>
        </w:tabs>
        <w:kinsoku/>
        <w:wordWrap/>
        <w:overflowPunct/>
        <w:topLinePunct w:val="0"/>
        <w:bidi w:val="0"/>
        <w:adjustRightInd/>
        <w:snapToGrid w:val="0"/>
        <w:spacing w:line="600" w:lineRule="exact"/>
        <w:ind w:left="0" w:leftChars="0" w:right="0" w:rightChars="0" w:firstLine="640" w:firstLineChars="200"/>
        <w:textAlignment w:val="auto"/>
        <w:outlineLvl w:val="9"/>
        <w:rPr>
          <w:rFonts w:hint="eastAsia" w:ascii="仿宋_GB2312" w:hAnsi="仿宋_GB2312" w:eastAsia="黑体" w:cs="仿宋_GB2312"/>
          <w:color w:val="000000"/>
          <w:sz w:val="32"/>
          <w:szCs w:val="32"/>
        </w:rPr>
      </w:pPr>
      <w:r>
        <w:rPr>
          <w:rFonts w:hint="eastAsia" w:ascii="仿宋_GB2312" w:hAnsi="仿宋_GB2312" w:eastAsia="仿宋_GB2312" w:cs="仿宋_GB2312"/>
          <w:color w:val="000000"/>
          <w:sz w:val="32"/>
          <w:szCs w:val="32"/>
        </w:rPr>
        <w:t>专利资产评估内容、程序、方法适用国家有关规定。</w:t>
      </w:r>
    </w:p>
    <w:p>
      <w:pPr>
        <w:keepNext w:val="0"/>
        <w:keepLines w:val="0"/>
        <w:pageBreakBefore w:val="0"/>
        <w:widowControl/>
        <w:kinsoku/>
        <w:wordWrap/>
        <w:overflowPunct/>
        <w:topLinePunct w:val="0"/>
        <w:bidi w:val="0"/>
        <w:adjustRightInd/>
        <w:spacing w:line="600" w:lineRule="exact"/>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黑体" w:cs="仿宋_GB2312"/>
          <w:color w:val="000000"/>
          <w:kern w:val="0"/>
          <w:sz w:val="32"/>
          <w:szCs w:val="32"/>
        </w:rPr>
        <w:t>第三十二条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kern w:val="0"/>
          <w:sz w:val="32"/>
          <w:szCs w:val="32"/>
        </w:rPr>
        <w:t>企业事业单位有下列情形之一的，应当进行专利检索分析：</w:t>
      </w:r>
    </w:p>
    <w:p>
      <w:pPr>
        <w:keepNext w:val="0"/>
        <w:keepLines w:val="0"/>
        <w:pageBreakBefore w:val="0"/>
        <w:kinsoku/>
        <w:wordWrap/>
        <w:overflowPunct/>
        <w:topLinePunct w:val="0"/>
        <w:bidi w:val="0"/>
        <w:adjustRightInd/>
        <w:spacing w:line="600" w:lineRule="exact"/>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（一）研究开发新技术、新产品、新工艺；</w:t>
      </w:r>
    </w:p>
    <w:p>
      <w:pPr>
        <w:keepNext w:val="0"/>
        <w:keepLines w:val="0"/>
        <w:pageBreakBefore w:val="0"/>
        <w:kinsoku/>
        <w:wordWrap/>
        <w:overflowPunct/>
        <w:topLinePunct w:val="0"/>
        <w:bidi w:val="0"/>
        <w:adjustRightInd/>
        <w:spacing w:line="600" w:lineRule="exact"/>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（二）进行涉及专利的技术贸易；</w:t>
      </w:r>
    </w:p>
    <w:p>
      <w:pPr>
        <w:keepNext w:val="0"/>
        <w:keepLines w:val="0"/>
        <w:pageBreakBefore w:val="0"/>
        <w:kinsoku/>
        <w:wordWrap/>
        <w:overflowPunct/>
        <w:topLinePunct w:val="0"/>
        <w:bidi w:val="0"/>
        <w:adjustRightInd/>
        <w:spacing w:line="600" w:lineRule="exact"/>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（三）以专利资产投资入股；</w:t>
      </w:r>
    </w:p>
    <w:p>
      <w:pPr>
        <w:keepNext w:val="0"/>
        <w:keepLines w:val="0"/>
        <w:pageBreakBefore w:val="0"/>
        <w:tabs>
          <w:tab w:val="left" w:pos="5760"/>
        </w:tabs>
        <w:kinsoku/>
        <w:wordWrap/>
        <w:overflowPunct/>
        <w:topLinePunct w:val="0"/>
        <w:bidi w:val="0"/>
        <w:adjustRightInd/>
        <w:snapToGrid w:val="0"/>
        <w:spacing w:line="600" w:lineRule="exact"/>
        <w:ind w:left="0" w:leftChars="0" w:right="0" w:rightChars="0" w:firstLine="640" w:firstLineChars="200"/>
        <w:textAlignment w:val="auto"/>
        <w:outlineLvl w:val="9"/>
        <w:rPr>
          <w:rFonts w:hint="eastAsia" w:ascii="仿宋_GB2312" w:hAnsi="仿宋_GB2312" w:eastAsia="黑体" w:cs="仿宋_GB2312"/>
          <w:kern w:val="0"/>
          <w:sz w:val="32"/>
          <w:szCs w:val="32"/>
        </w:rPr>
      </w:pPr>
      <w:r>
        <w:rPr>
          <w:rFonts w:hint="eastAsia" w:ascii="仿宋_GB2312" w:hAnsi="仿宋_GB2312" w:eastAsia="仿宋_GB2312" w:cs="仿宋_GB2312"/>
          <w:kern w:val="0"/>
          <w:sz w:val="32"/>
          <w:szCs w:val="32"/>
        </w:rPr>
        <w:t>（四）法律、法规规定的其他情形。</w:t>
      </w:r>
    </w:p>
    <w:p>
      <w:pPr>
        <w:keepNext w:val="0"/>
        <w:keepLines w:val="0"/>
        <w:pageBreakBefore w:val="0"/>
        <w:tabs>
          <w:tab w:val="left" w:pos="5760"/>
        </w:tabs>
        <w:kinsoku/>
        <w:wordWrap/>
        <w:overflowPunct/>
        <w:topLinePunct w:val="0"/>
        <w:bidi w:val="0"/>
        <w:adjustRightInd/>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第三十三条</w:t>
      </w:r>
      <w:r>
        <w:rPr>
          <w:rFonts w:hint="eastAsia" w:ascii="仿宋_GB2312" w:hAnsi="仿宋_GB2312" w:eastAsia="仿宋_GB2312" w:cs="仿宋_GB2312"/>
          <w:color w:val="000000"/>
          <w:sz w:val="32"/>
          <w:szCs w:val="32"/>
        </w:rPr>
        <w:t xml:space="preserve">  公民、法人和其他组织有下列情形之一的，应当提供专利权有效证明：</w:t>
      </w:r>
    </w:p>
    <w:p>
      <w:pPr>
        <w:keepNext w:val="0"/>
        <w:keepLines w:val="0"/>
        <w:pageBreakBefore w:val="0"/>
        <w:tabs>
          <w:tab w:val="left" w:pos="5760"/>
        </w:tabs>
        <w:kinsoku/>
        <w:wordWrap/>
        <w:overflowPunct/>
        <w:topLinePunct w:val="0"/>
        <w:bidi w:val="0"/>
        <w:adjustRightInd/>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（一）组织标注专利标识的商品进入商场、超市等市场销售的；</w:t>
      </w:r>
    </w:p>
    <w:p>
      <w:pPr>
        <w:keepNext w:val="0"/>
        <w:keepLines w:val="0"/>
        <w:pageBreakBefore w:val="0"/>
        <w:tabs>
          <w:tab w:val="left" w:pos="5760"/>
        </w:tabs>
        <w:kinsoku/>
        <w:wordWrap/>
        <w:overflowPunct/>
        <w:topLinePunct w:val="0"/>
        <w:bidi w:val="0"/>
        <w:adjustRightInd/>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（二）委托广告经营者设计、制作、发布的广告，内容标注专利标识的；</w:t>
      </w:r>
    </w:p>
    <w:p>
      <w:pPr>
        <w:keepNext w:val="0"/>
        <w:keepLines w:val="0"/>
        <w:pageBreakBefore w:val="0"/>
        <w:widowControl/>
        <w:kinsoku/>
        <w:wordWrap/>
        <w:overflowPunct/>
        <w:topLinePunct w:val="0"/>
        <w:bidi w:val="0"/>
        <w:adjustRightInd/>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（三）组织推广专利技术的；</w:t>
      </w:r>
    </w:p>
    <w:p>
      <w:pPr>
        <w:keepNext w:val="0"/>
        <w:keepLines w:val="0"/>
        <w:pageBreakBefore w:val="0"/>
        <w:tabs>
          <w:tab w:val="left" w:pos="5760"/>
        </w:tabs>
        <w:kinsoku/>
        <w:wordWrap/>
        <w:overflowPunct/>
        <w:topLinePunct w:val="0"/>
        <w:bidi w:val="0"/>
        <w:adjustRightInd/>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（四）进行专利资产评估和办理专利权质押的；</w:t>
      </w:r>
    </w:p>
    <w:p>
      <w:pPr>
        <w:keepNext w:val="0"/>
        <w:keepLines w:val="0"/>
        <w:pageBreakBefore w:val="0"/>
        <w:tabs>
          <w:tab w:val="left" w:pos="5760"/>
        </w:tabs>
        <w:kinsoku/>
        <w:wordWrap/>
        <w:overflowPunct/>
        <w:topLinePunct w:val="0"/>
        <w:bidi w:val="0"/>
        <w:adjustRightInd/>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（五）请求海关保护专利产品进出口的；</w:t>
      </w:r>
    </w:p>
    <w:p>
      <w:pPr>
        <w:keepNext w:val="0"/>
        <w:keepLines w:val="0"/>
        <w:pageBreakBefore w:val="0"/>
        <w:tabs>
          <w:tab w:val="left" w:pos="5760"/>
        </w:tabs>
        <w:kinsoku/>
        <w:wordWrap/>
        <w:overflowPunct/>
        <w:topLinePunct w:val="0"/>
        <w:bidi w:val="0"/>
        <w:adjustRightInd/>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（六）法律、法规规定的其他情形。</w:t>
      </w:r>
    </w:p>
    <w:p>
      <w:pPr>
        <w:keepNext w:val="0"/>
        <w:keepLines w:val="0"/>
        <w:pageBreakBefore w:val="0"/>
        <w:kinsoku/>
        <w:wordWrap/>
        <w:overflowPunct/>
        <w:topLinePunct w:val="0"/>
        <w:bidi w:val="0"/>
        <w:adjustRightInd/>
        <w:spacing w:line="600" w:lineRule="exact"/>
        <w:ind w:left="0" w:leftChars="0" w:right="0" w:rightChars="0" w:firstLine="640" w:firstLineChars="200"/>
        <w:jc w:val="center"/>
        <w:textAlignment w:val="auto"/>
        <w:outlineLvl w:val="9"/>
        <w:rPr>
          <w:rFonts w:hint="eastAsia" w:ascii="仿宋_GB2312" w:hAnsi="仿宋_GB2312" w:eastAsia="黑体"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第六章  专利服务</w:t>
      </w:r>
    </w:p>
    <w:p>
      <w:pPr>
        <w:keepNext w:val="0"/>
        <w:keepLines w:val="0"/>
        <w:pageBreakBefore w:val="0"/>
        <w:kinsoku/>
        <w:wordWrap/>
        <w:overflowPunct/>
        <w:topLinePunct w:val="0"/>
        <w:bidi w:val="0"/>
        <w:adjustRightInd/>
        <w:spacing w:line="600" w:lineRule="exact"/>
        <w:ind w:left="0" w:leftChars="0" w:right="0" w:rightChars="0" w:firstLine="640" w:firstLineChars="200"/>
        <w:jc w:val="center"/>
        <w:textAlignment w:val="auto"/>
        <w:outlineLvl w:val="9"/>
        <w:rPr>
          <w:rFonts w:hint="eastAsia" w:ascii="仿宋_GB2312" w:hAnsi="仿宋_GB2312" w:eastAsia="黑体" w:cs="仿宋_GB2312"/>
          <w:color w:val="000000"/>
          <w:sz w:val="32"/>
          <w:szCs w:val="32"/>
        </w:rPr>
      </w:pPr>
    </w:p>
    <w:p>
      <w:pPr>
        <w:keepNext w:val="0"/>
        <w:keepLines w:val="0"/>
        <w:pageBreakBefore w:val="0"/>
        <w:tabs>
          <w:tab w:val="left" w:pos="5760"/>
        </w:tabs>
        <w:kinsoku/>
        <w:wordWrap/>
        <w:overflowPunct/>
        <w:topLinePunct w:val="0"/>
        <w:bidi w:val="0"/>
        <w:adjustRightInd/>
        <w:snapToGrid w:val="0"/>
        <w:spacing w:line="600" w:lineRule="exact"/>
        <w:ind w:left="0" w:leftChars="0" w:right="0" w:rightChars="0" w:firstLine="640" w:firstLineChars="200"/>
        <w:textAlignment w:val="auto"/>
        <w:outlineLvl w:val="9"/>
        <w:rPr>
          <w:rFonts w:hint="eastAsia" w:ascii="仿宋_GB2312" w:hAnsi="仿宋_GB2312" w:eastAsia="黑体" w:cs="仿宋_GB2312"/>
          <w:color w:val="000000"/>
          <w:sz w:val="32"/>
          <w:szCs w:val="32"/>
        </w:rPr>
      </w:pPr>
      <w:r>
        <w:rPr>
          <w:rFonts w:hint="eastAsia" w:ascii="仿宋_GB2312" w:hAnsi="仿宋_GB2312" w:eastAsia="黑体" w:cs="仿宋_GB2312"/>
          <w:color w:val="000000"/>
          <w:sz w:val="32"/>
          <w:szCs w:val="32"/>
        </w:rPr>
        <w:t>第三十四条</w:t>
      </w:r>
      <w:r>
        <w:rPr>
          <w:rFonts w:hint="eastAsia" w:ascii="仿宋_GB2312" w:hAnsi="仿宋_GB2312" w:eastAsia="仿宋_GB2312" w:cs="仿宋_GB2312"/>
          <w:color w:val="000000"/>
          <w:sz w:val="32"/>
          <w:szCs w:val="32"/>
        </w:rPr>
        <w:t xml:space="preserve">  自治区专利工作部门应当会同有关部门</w:t>
      </w:r>
      <w:r>
        <w:rPr>
          <w:rFonts w:hint="eastAsia" w:ascii="仿宋_GB2312" w:hAnsi="仿宋_GB2312" w:eastAsia="仿宋_GB2312" w:cs="仿宋_GB2312"/>
          <w:color w:val="000000"/>
          <w:kern w:val="0"/>
          <w:sz w:val="32"/>
          <w:szCs w:val="32"/>
        </w:rPr>
        <w:t>建立专利预警机制和专利公共服务平台，监测和通报重点区域、行业、产业和技术领域的国内外专利状况、发展趋势和竞争态势,为专利创造和运用提供政策指导、技术咨询、信息共享等服务。</w:t>
      </w:r>
    </w:p>
    <w:p>
      <w:pPr>
        <w:keepNext w:val="0"/>
        <w:keepLines w:val="0"/>
        <w:pageBreakBefore w:val="0"/>
        <w:widowControl/>
        <w:kinsoku/>
        <w:wordWrap/>
        <w:overflowPunct/>
        <w:topLinePunct w:val="0"/>
        <w:bidi w:val="0"/>
        <w:adjustRightInd/>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黑体" w:cs="仿宋_GB2312"/>
          <w:kern w:val="0"/>
          <w:sz w:val="32"/>
          <w:szCs w:val="32"/>
        </w:rPr>
        <w:t>第三十五条</w:t>
      </w:r>
      <w:r>
        <w:rPr>
          <w:rFonts w:hint="eastAsia" w:ascii="仿宋_GB2312" w:hAnsi="仿宋_GB2312" w:eastAsia="仿宋_GB2312" w:cs="仿宋_GB2312"/>
          <w:sz w:val="32"/>
          <w:szCs w:val="32"/>
        </w:rPr>
        <w:t xml:space="preserve">  县级以上人民政府管理专利工作的部门应当建立专利维权援助机制，依法开展专利维权服务，为公民、法人和其他组织提供专利维权的信息、法律、技术等帮助。</w:t>
      </w:r>
    </w:p>
    <w:p>
      <w:pPr>
        <w:keepNext w:val="0"/>
        <w:keepLines w:val="0"/>
        <w:pageBreakBefore w:val="0"/>
        <w:widowControl/>
        <w:kinsoku/>
        <w:wordWrap/>
        <w:overflowPunct/>
        <w:topLinePunct w:val="0"/>
        <w:bidi w:val="0"/>
        <w:adjustRightInd/>
        <w:spacing w:line="600" w:lineRule="exact"/>
        <w:ind w:left="0" w:leftChars="0" w:right="0" w:rightChars="0" w:firstLine="640" w:firstLineChars="200"/>
        <w:textAlignment w:val="auto"/>
        <w:outlineLvl w:val="9"/>
        <w:rPr>
          <w:rFonts w:hint="eastAsia" w:ascii="仿宋_GB2312" w:hAnsi="仿宋_GB2312" w:eastAsia="黑体" w:cs="仿宋_GB2312"/>
          <w:kern w:val="0"/>
          <w:sz w:val="32"/>
          <w:szCs w:val="32"/>
        </w:rPr>
      </w:pPr>
      <w:r>
        <w:rPr>
          <w:rFonts w:hint="eastAsia" w:ascii="仿宋_GB2312" w:hAnsi="仿宋_GB2312" w:eastAsia="仿宋_GB2312" w:cs="仿宋_GB2312"/>
          <w:kern w:val="0"/>
          <w:sz w:val="32"/>
          <w:szCs w:val="32"/>
        </w:rPr>
        <w:t>鼓励专利维权援助机构、专利中介服务机构、高等院校、科研机构、社会团体为公民、法人和其他组织提供专利维权援助。</w:t>
      </w:r>
    </w:p>
    <w:p>
      <w:pPr>
        <w:keepNext w:val="0"/>
        <w:keepLines w:val="0"/>
        <w:pageBreakBefore w:val="0"/>
        <w:widowControl/>
        <w:kinsoku/>
        <w:wordWrap/>
        <w:overflowPunct/>
        <w:topLinePunct w:val="0"/>
        <w:bidi w:val="0"/>
        <w:adjustRightInd/>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黑体" w:cs="仿宋_GB2312"/>
          <w:color w:val="000000"/>
          <w:kern w:val="0"/>
          <w:sz w:val="32"/>
          <w:szCs w:val="32"/>
        </w:rPr>
        <w:t>第三十六条</w:t>
      </w:r>
      <w:r>
        <w:rPr>
          <w:rFonts w:hint="eastAsia" w:ascii="仿宋_GB2312" w:hAnsi="仿宋_GB2312" w:eastAsia="仿宋_GB2312" w:cs="仿宋_GB2312"/>
          <w:color w:val="000000"/>
          <w:kern w:val="0"/>
          <w:sz w:val="32"/>
          <w:szCs w:val="32"/>
        </w:rPr>
        <w:t xml:space="preserve">   县级以上人民政府及其有关部门应当建立专利人才培养机制，将专利知识培训纳入相关公务员和专业技术人员继续教育内容。</w:t>
      </w:r>
    </w:p>
    <w:p>
      <w:pPr>
        <w:keepNext w:val="0"/>
        <w:keepLines w:val="0"/>
        <w:pageBreakBefore w:val="0"/>
        <w:widowControl/>
        <w:kinsoku/>
        <w:wordWrap/>
        <w:overflowPunct/>
        <w:topLinePunct w:val="0"/>
        <w:bidi w:val="0"/>
        <w:adjustRightInd/>
        <w:spacing w:line="600" w:lineRule="exact"/>
        <w:ind w:left="0" w:leftChars="0" w:right="0" w:rightChars="0" w:firstLine="640" w:firstLineChars="200"/>
        <w:textAlignment w:val="auto"/>
        <w:outlineLvl w:val="9"/>
        <w:rPr>
          <w:rFonts w:hint="eastAsia" w:ascii="仿宋_GB2312" w:hAnsi="仿宋_GB2312" w:eastAsia="黑体" w:cs="仿宋_GB2312"/>
          <w:color w:val="000000"/>
          <w:kern w:val="0"/>
          <w:sz w:val="32"/>
          <w:szCs w:val="32"/>
        </w:rPr>
      </w:pPr>
      <w:r>
        <w:rPr>
          <w:rFonts w:hint="eastAsia" w:ascii="仿宋_GB2312" w:hAnsi="仿宋_GB2312" w:eastAsia="仿宋_GB2312" w:cs="仿宋_GB2312"/>
          <w:color w:val="000000"/>
          <w:kern w:val="0"/>
          <w:sz w:val="32"/>
          <w:szCs w:val="32"/>
        </w:rPr>
        <w:t>鼓励有条件的高等学校开设专利知识课程，开展专利知识普及教育。</w:t>
      </w:r>
    </w:p>
    <w:p>
      <w:pPr>
        <w:keepNext w:val="0"/>
        <w:keepLines w:val="0"/>
        <w:pageBreakBefore w:val="0"/>
        <w:kinsoku/>
        <w:wordWrap/>
        <w:overflowPunct/>
        <w:topLinePunct w:val="0"/>
        <w:bidi w:val="0"/>
        <w:adjustRightInd/>
        <w:spacing w:line="600" w:lineRule="exact"/>
        <w:ind w:left="0" w:leftChars="0" w:right="0" w:rightChars="0" w:firstLine="640" w:firstLineChars="200"/>
        <w:textAlignment w:val="auto"/>
        <w:outlineLvl w:val="9"/>
        <w:rPr>
          <w:rFonts w:hint="eastAsia" w:ascii="仿宋_GB2312" w:hAnsi="仿宋_GB2312" w:eastAsia="黑体" w:cs="仿宋_GB2312"/>
          <w:color w:val="000000"/>
          <w:sz w:val="32"/>
          <w:szCs w:val="32"/>
        </w:rPr>
      </w:pPr>
      <w:r>
        <w:rPr>
          <w:rFonts w:hint="eastAsia" w:ascii="仿宋_GB2312" w:hAnsi="仿宋_GB2312" w:eastAsia="黑体" w:cs="仿宋_GB2312"/>
          <w:sz w:val="32"/>
          <w:szCs w:val="32"/>
        </w:rPr>
        <w:t>第三十七条</w:t>
      </w:r>
      <w:r>
        <w:rPr>
          <w:rFonts w:hint="eastAsia" w:ascii="仿宋_GB2312" w:hAnsi="仿宋_GB2312" w:eastAsia="仿宋_GB2312" w:cs="仿宋_GB2312"/>
          <w:sz w:val="32"/>
          <w:szCs w:val="32"/>
        </w:rPr>
        <w:t xml:space="preserve">   行业协会、商会等社会组织应当为会员的专利创造、申请、保护、运用、维权等提供指导和帮助。</w:t>
      </w:r>
    </w:p>
    <w:p>
      <w:pPr>
        <w:keepNext w:val="0"/>
        <w:keepLines w:val="0"/>
        <w:pageBreakBefore w:val="0"/>
        <w:tabs>
          <w:tab w:val="left" w:pos="5760"/>
        </w:tabs>
        <w:kinsoku/>
        <w:wordWrap/>
        <w:overflowPunct/>
        <w:topLinePunct w:val="0"/>
        <w:bidi w:val="0"/>
        <w:adjustRightInd/>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第三十八条</w:t>
      </w:r>
      <w:r>
        <w:rPr>
          <w:rFonts w:hint="eastAsia" w:ascii="仿宋_GB2312" w:hAnsi="仿宋_GB2312" w:eastAsia="仿宋_GB2312" w:cs="仿宋_GB2312"/>
          <w:color w:val="000000"/>
          <w:sz w:val="32"/>
          <w:szCs w:val="32"/>
        </w:rPr>
        <w:t xml:space="preserve">   鼓励发展专利代理、检索、评估、鉴定及交易等专利中介服务。</w:t>
      </w:r>
    </w:p>
    <w:p>
      <w:pPr>
        <w:keepNext w:val="0"/>
        <w:keepLines w:val="0"/>
        <w:pageBreakBefore w:val="0"/>
        <w:tabs>
          <w:tab w:val="left" w:pos="5760"/>
        </w:tabs>
        <w:kinsoku/>
        <w:wordWrap/>
        <w:overflowPunct/>
        <w:topLinePunct w:val="0"/>
        <w:bidi w:val="0"/>
        <w:adjustRightInd/>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专利代理、专利资产评估、专利信息咨询等专利中介服务机构不得从事下列行为：</w:t>
      </w:r>
    </w:p>
    <w:p>
      <w:pPr>
        <w:keepNext w:val="0"/>
        <w:keepLines w:val="0"/>
        <w:pageBreakBefore w:val="0"/>
        <w:kinsoku/>
        <w:wordWrap/>
        <w:overflowPunct/>
        <w:topLinePunct w:val="0"/>
        <w:bidi w:val="0"/>
        <w:adjustRightInd/>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（一）出具虚假报告及虚假证明文件；</w:t>
      </w:r>
    </w:p>
    <w:p>
      <w:pPr>
        <w:keepNext w:val="0"/>
        <w:keepLines w:val="0"/>
        <w:pageBreakBefore w:val="0"/>
        <w:kinsoku/>
        <w:wordWrap/>
        <w:overflowPunct/>
        <w:topLinePunct w:val="0"/>
        <w:bidi w:val="0"/>
        <w:adjustRightInd/>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（二）以欺骗、误导等手段招揽业务；</w:t>
      </w:r>
    </w:p>
    <w:p>
      <w:pPr>
        <w:keepNext w:val="0"/>
        <w:keepLines w:val="0"/>
        <w:pageBreakBefore w:val="0"/>
        <w:kinsoku/>
        <w:wordWrap/>
        <w:overflowPunct/>
        <w:topLinePunct w:val="0"/>
        <w:bidi w:val="0"/>
        <w:adjustRightInd/>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（三）与当事人串通，损害社会公共利益或者第三人利益；</w:t>
      </w:r>
    </w:p>
    <w:p>
      <w:pPr>
        <w:keepNext w:val="0"/>
        <w:keepLines w:val="0"/>
        <w:pageBreakBefore w:val="0"/>
        <w:kinsoku/>
        <w:wordWrap/>
        <w:overflowPunct/>
        <w:topLinePunct w:val="0"/>
        <w:bidi w:val="0"/>
        <w:adjustRightInd/>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（四）泄露当事人的商业秘密；</w:t>
      </w:r>
    </w:p>
    <w:p>
      <w:pPr>
        <w:keepNext w:val="0"/>
        <w:keepLines w:val="0"/>
        <w:pageBreakBefore w:val="0"/>
        <w:kinsoku/>
        <w:wordWrap/>
        <w:overflowPunct/>
        <w:topLinePunct w:val="0"/>
        <w:bidi w:val="0"/>
        <w:adjustRightInd/>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（五）法律、法规禁止实施的其他行为。</w:t>
      </w:r>
    </w:p>
    <w:p>
      <w:pPr>
        <w:keepNext w:val="0"/>
        <w:keepLines w:val="0"/>
        <w:pageBreakBefore w:val="0"/>
        <w:kinsoku/>
        <w:wordWrap/>
        <w:overflowPunct/>
        <w:topLinePunct w:val="0"/>
        <w:bidi w:val="0"/>
        <w:adjustRightInd/>
        <w:spacing w:line="600" w:lineRule="exact"/>
        <w:ind w:left="0" w:leftChars="0" w:right="0" w:rightChars="0" w:firstLine="640" w:firstLineChars="200"/>
        <w:textAlignment w:val="auto"/>
        <w:outlineLvl w:val="9"/>
        <w:rPr>
          <w:rFonts w:hint="eastAsia" w:ascii="仿宋_GB2312" w:hAnsi="仿宋_GB2312" w:eastAsia="黑体"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第七章   法律责任</w:t>
      </w:r>
    </w:p>
    <w:p>
      <w:pPr>
        <w:keepNext w:val="0"/>
        <w:keepLines w:val="0"/>
        <w:pageBreakBefore w:val="0"/>
        <w:tabs>
          <w:tab w:val="left" w:pos="5760"/>
        </w:tabs>
        <w:kinsoku/>
        <w:wordWrap/>
        <w:overflowPunct/>
        <w:topLinePunct w:val="0"/>
        <w:bidi w:val="0"/>
        <w:adjustRightInd/>
        <w:spacing w:line="600" w:lineRule="exact"/>
        <w:ind w:left="0" w:leftChars="0" w:right="0" w:rightChars="0" w:firstLine="640" w:firstLineChars="200"/>
        <w:textAlignment w:val="auto"/>
        <w:outlineLvl w:val="9"/>
        <w:rPr>
          <w:rFonts w:hint="eastAsia" w:ascii="仿宋_GB2312" w:hAnsi="仿宋_GB2312" w:eastAsia="黑体" w:cs="仿宋_GB2312"/>
          <w:color w:val="000000"/>
          <w:sz w:val="32"/>
          <w:szCs w:val="32"/>
        </w:rPr>
      </w:pPr>
    </w:p>
    <w:p>
      <w:pPr>
        <w:pStyle w:val="6"/>
        <w:keepNext w:val="0"/>
        <w:keepLines w:val="0"/>
        <w:pageBreakBefore w:val="0"/>
        <w:kinsoku/>
        <w:wordWrap/>
        <w:overflowPunct/>
        <w:topLinePunct w:val="0"/>
        <w:bidi w:val="0"/>
        <w:adjustRightInd/>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bCs/>
          <w:color w:val="000000"/>
          <w:sz w:val="32"/>
          <w:szCs w:val="32"/>
        </w:rPr>
        <w:t>第三十九条</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sz w:val="32"/>
          <w:szCs w:val="32"/>
        </w:rPr>
        <w:t>违反本条例第二十三条规定，非法实施他人专利的，依照《中华人民共和国专利法》第六十条的规定进行处理；为非法实施他人专利提供便利条件的，由专利工作部门责令停止该行为。</w:t>
      </w:r>
    </w:p>
    <w:p>
      <w:pPr>
        <w:pStyle w:val="6"/>
        <w:keepNext w:val="0"/>
        <w:keepLines w:val="0"/>
        <w:pageBreakBefore w:val="0"/>
        <w:kinsoku/>
        <w:wordWrap/>
        <w:overflowPunct/>
        <w:topLinePunct w:val="0"/>
        <w:bidi w:val="0"/>
        <w:adjustRightInd/>
        <w:spacing w:line="600" w:lineRule="exact"/>
        <w:ind w:left="0" w:leftChars="0" w:right="0" w:rightChars="0" w:firstLine="640" w:firstLineChars="200"/>
        <w:textAlignment w:val="auto"/>
        <w:outlineLvl w:val="9"/>
        <w:rPr>
          <w:rFonts w:hint="eastAsia" w:ascii="仿宋_GB2312" w:hAnsi="仿宋_GB2312" w:eastAsia="黑体" w:cs="仿宋_GB2312"/>
          <w:color w:val="000000"/>
          <w:sz w:val="32"/>
          <w:szCs w:val="32"/>
        </w:rPr>
      </w:pPr>
      <w:r>
        <w:rPr>
          <w:rFonts w:hint="eastAsia" w:ascii="仿宋_GB2312" w:hAnsi="仿宋_GB2312" w:eastAsia="仿宋_GB2312" w:cs="仿宋_GB2312"/>
          <w:color w:val="000000"/>
          <w:sz w:val="32"/>
          <w:szCs w:val="32"/>
        </w:rPr>
        <w:t>假冒专利的，依照《中华人民共和国专利法》第六十三条规定查处；明知是假冒专利行为而为其提供便利条件的，由专利工作部门责令改正，并处一千元以上三万元以下罚款。</w:t>
      </w:r>
    </w:p>
    <w:p>
      <w:pPr>
        <w:pStyle w:val="6"/>
        <w:keepNext w:val="0"/>
        <w:keepLines w:val="0"/>
        <w:pageBreakBefore w:val="0"/>
        <w:shd w:val="clear" w:color="auto" w:fill="FFFFFF"/>
        <w:kinsoku/>
        <w:wordWrap/>
        <w:overflowPunct/>
        <w:topLinePunct w:val="0"/>
        <w:bidi w:val="0"/>
        <w:adjustRightInd/>
        <w:spacing w:line="600" w:lineRule="exact"/>
        <w:ind w:left="0" w:leftChars="0" w:right="0" w:rightChars="0" w:firstLine="640" w:firstLineChars="200"/>
        <w:textAlignment w:val="auto"/>
        <w:outlineLvl w:val="9"/>
        <w:rPr>
          <w:rFonts w:hint="eastAsia" w:ascii="仿宋_GB2312" w:hAnsi="仿宋_GB2312" w:eastAsia="黑体" w:cs="仿宋_GB2312"/>
          <w:color w:val="000000"/>
          <w:sz w:val="32"/>
          <w:szCs w:val="32"/>
        </w:rPr>
      </w:pPr>
      <w:r>
        <w:rPr>
          <w:rFonts w:hint="eastAsia" w:ascii="仿宋_GB2312" w:hAnsi="仿宋_GB2312" w:eastAsia="黑体" w:cs="仿宋_GB2312"/>
          <w:bCs/>
          <w:color w:val="000000"/>
          <w:sz w:val="32"/>
          <w:szCs w:val="32"/>
        </w:rPr>
        <w:t>第四十条</w:t>
      </w:r>
      <w:r>
        <w:rPr>
          <w:rFonts w:hint="eastAsia" w:ascii="仿宋_GB2312" w:hAnsi="仿宋_GB2312" w:eastAsia="仿宋_GB2312" w:cs="仿宋_GB2312"/>
          <w:bCs/>
          <w:color w:val="000000"/>
          <w:sz w:val="32"/>
          <w:szCs w:val="32"/>
        </w:rPr>
        <w:t xml:space="preserve"> </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sz w:val="32"/>
          <w:szCs w:val="32"/>
        </w:rPr>
        <w:t>专利侵权纠纷的行政处理决定生效后，侵权人再次侵犯同一专利权，扰乱专利管理秩序的，由专利工作部门责令改正，可以处一万元以上二十万元以下罚款。有违法所得的，没收违法所得。</w:t>
      </w:r>
    </w:p>
    <w:p>
      <w:pPr>
        <w:pStyle w:val="6"/>
        <w:keepNext w:val="0"/>
        <w:keepLines w:val="0"/>
        <w:pageBreakBefore w:val="0"/>
        <w:kinsoku/>
        <w:wordWrap/>
        <w:overflowPunct/>
        <w:topLinePunct w:val="0"/>
        <w:bidi w:val="0"/>
        <w:adjustRightInd/>
        <w:spacing w:line="600" w:lineRule="exact"/>
        <w:ind w:left="0" w:leftChars="0" w:right="0" w:rightChars="0" w:firstLine="640" w:firstLineChars="200"/>
        <w:textAlignment w:val="auto"/>
        <w:outlineLvl w:val="9"/>
        <w:rPr>
          <w:rFonts w:hint="eastAsia" w:ascii="仿宋_GB2312" w:hAnsi="仿宋_GB2312" w:eastAsia="黑体" w:cs="仿宋_GB2312"/>
          <w:color w:val="000000"/>
          <w:sz w:val="32"/>
          <w:szCs w:val="32"/>
        </w:rPr>
      </w:pPr>
      <w:r>
        <w:rPr>
          <w:rFonts w:hint="eastAsia" w:ascii="仿宋_GB2312" w:hAnsi="仿宋_GB2312" w:eastAsia="黑体" w:cs="仿宋_GB2312"/>
          <w:bCs/>
          <w:color w:val="000000"/>
          <w:sz w:val="32"/>
          <w:szCs w:val="32"/>
        </w:rPr>
        <w:t>第四十一条</w:t>
      </w:r>
      <w:r>
        <w:rPr>
          <w:rFonts w:hint="eastAsia" w:ascii="仿宋_GB2312" w:hAnsi="仿宋_GB2312" w:eastAsia="仿宋_GB2312" w:cs="仿宋_GB2312"/>
          <w:color w:val="000000"/>
          <w:sz w:val="32"/>
          <w:szCs w:val="32"/>
        </w:rPr>
        <w:t xml:space="preserve">  违反本条例第二十七条第二款规定，会展主办方未履行查验职责，致使假冒专利产品、专利技术参展的，由专利工作部门责令改正；拒不改正的，处两千元以上一万元以下罚款。</w:t>
      </w:r>
    </w:p>
    <w:p>
      <w:pPr>
        <w:pStyle w:val="6"/>
        <w:keepNext w:val="0"/>
        <w:keepLines w:val="0"/>
        <w:pageBreakBefore w:val="0"/>
        <w:shd w:val="clear" w:color="auto" w:fill="FFFFFF"/>
        <w:kinsoku/>
        <w:wordWrap/>
        <w:overflowPunct/>
        <w:topLinePunct w:val="0"/>
        <w:bidi w:val="0"/>
        <w:adjustRightInd/>
        <w:spacing w:line="600" w:lineRule="exact"/>
        <w:ind w:left="0" w:leftChars="0" w:right="0" w:rightChars="0" w:firstLine="640" w:firstLineChars="200"/>
        <w:textAlignment w:val="auto"/>
        <w:outlineLvl w:val="9"/>
        <w:rPr>
          <w:rFonts w:hint="eastAsia" w:ascii="仿宋_GB2312" w:hAnsi="仿宋_GB2312" w:eastAsia="黑体" w:cs="仿宋_GB2312"/>
          <w:color w:val="000000"/>
          <w:sz w:val="32"/>
          <w:szCs w:val="32"/>
        </w:rPr>
      </w:pPr>
      <w:r>
        <w:rPr>
          <w:rFonts w:hint="eastAsia" w:ascii="仿宋_GB2312" w:hAnsi="仿宋_GB2312" w:eastAsia="黑体" w:cs="仿宋_GB2312"/>
          <w:bCs/>
          <w:color w:val="000000"/>
          <w:sz w:val="32"/>
          <w:szCs w:val="32"/>
        </w:rPr>
        <w:t>第四十二条</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sz w:val="32"/>
          <w:szCs w:val="32"/>
        </w:rPr>
        <w:t xml:space="preserve">违反本条例第三十条规定，县级以上人民政府及其有关部门未按照规定进行专利审议，导致技术盲目引进、重复研发、流失或者侵犯、滥用专利权的，由上一级人民政府或者行政监察机关责令限期改正；情节严重的，对直接负责的主管人员和其他直接责任人员依法给予处分。 </w:t>
      </w:r>
    </w:p>
    <w:p>
      <w:pPr>
        <w:pStyle w:val="6"/>
        <w:keepNext w:val="0"/>
        <w:keepLines w:val="0"/>
        <w:pageBreakBefore w:val="0"/>
        <w:kinsoku/>
        <w:wordWrap/>
        <w:overflowPunct/>
        <w:topLinePunct w:val="0"/>
        <w:bidi w:val="0"/>
        <w:adjustRightInd/>
        <w:spacing w:line="600" w:lineRule="exact"/>
        <w:ind w:left="0" w:leftChars="0" w:right="0" w:rightChars="0" w:firstLine="640" w:firstLineChars="200"/>
        <w:textAlignment w:val="auto"/>
        <w:outlineLvl w:val="9"/>
        <w:rPr>
          <w:rFonts w:hint="eastAsia" w:ascii="仿宋_GB2312" w:hAnsi="仿宋_GB2312" w:eastAsia="黑体" w:cs="仿宋_GB2312"/>
          <w:bCs/>
          <w:color w:val="000000"/>
          <w:sz w:val="32"/>
          <w:szCs w:val="32"/>
        </w:rPr>
      </w:pPr>
      <w:r>
        <w:rPr>
          <w:rFonts w:hint="eastAsia" w:ascii="仿宋_GB2312" w:hAnsi="仿宋_GB2312" w:eastAsia="黑体" w:cs="仿宋_GB2312"/>
          <w:bCs/>
          <w:color w:val="000000"/>
          <w:sz w:val="32"/>
          <w:szCs w:val="32"/>
        </w:rPr>
        <w:t>第四十三条</w:t>
      </w:r>
      <w:r>
        <w:rPr>
          <w:rFonts w:hint="eastAsia" w:ascii="仿宋_GB2312" w:hAnsi="仿宋_GB2312" w:eastAsia="仿宋_GB2312" w:cs="仿宋_GB2312"/>
          <w:bCs/>
          <w:color w:val="000000"/>
          <w:sz w:val="32"/>
          <w:szCs w:val="32"/>
        </w:rPr>
        <w:t xml:space="preserve">  违反本条例第三十一条规定，国有资产占有单位对其拥有的专利资产未进行资产评估的，由履行出资人职责的机构或者有关部门责令限期改正。</w:t>
      </w:r>
    </w:p>
    <w:p>
      <w:pPr>
        <w:pStyle w:val="6"/>
        <w:keepNext w:val="0"/>
        <w:keepLines w:val="0"/>
        <w:pageBreakBefore w:val="0"/>
        <w:kinsoku/>
        <w:wordWrap/>
        <w:overflowPunct/>
        <w:topLinePunct w:val="0"/>
        <w:bidi w:val="0"/>
        <w:adjustRightInd/>
        <w:spacing w:line="600" w:lineRule="exact"/>
        <w:ind w:left="0" w:leftChars="0" w:right="0" w:rightChars="0" w:firstLine="640" w:firstLineChars="200"/>
        <w:textAlignment w:val="auto"/>
        <w:outlineLvl w:val="9"/>
        <w:rPr>
          <w:rFonts w:hint="eastAsia" w:ascii="仿宋_GB2312" w:hAnsi="仿宋_GB2312" w:eastAsia="黑体" w:cs="仿宋_GB2312"/>
          <w:bCs/>
          <w:color w:val="000000"/>
          <w:sz w:val="32"/>
          <w:szCs w:val="32"/>
        </w:rPr>
      </w:pPr>
      <w:r>
        <w:rPr>
          <w:rFonts w:hint="eastAsia" w:ascii="仿宋_GB2312" w:hAnsi="仿宋_GB2312" w:eastAsia="黑体" w:cs="仿宋_GB2312"/>
          <w:bCs/>
          <w:color w:val="000000"/>
          <w:sz w:val="32"/>
          <w:szCs w:val="32"/>
        </w:rPr>
        <w:t>第四十四条</w:t>
      </w:r>
      <w:r>
        <w:rPr>
          <w:rFonts w:hint="eastAsia" w:ascii="仿宋_GB2312" w:hAnsi="仿宋_GB2312" w:eastAsia="仿宋_GB2312" w:cs="仿宋_GB2312"/>
          <w:bCs/>
          <w:color w:val="000000"/>
          <w:sz w:val="32"/>
          <w:szCs w:val="32"/>
        </w:rPr>
        <w:t xml:space="preserve">  违反本条例第三十八条第二款规定，从事专利服务的中介机构及其工作人员出具虚假报告及虚假证明文件、牟取不正当利益的，由专利工作部门依法给予警告；有违法所得的，没收违法所得；情节严重的，由发证机关依法吊销相关证照。给当事人造成损失的，依法承担赔偿责任。</w:t>
      </w:r>
    </w:p>
    <w:p>
      <w:pPr>
        <w:pStyle w:val="6"/>
        <w:keepNext w:val="0"/>
        <w:keepLines w:val="0"/>
        <w:pageBreakBefore w:val="0"/>
        <w:kinsoku/>
        <w:wordWrap/>
        <w:overflowPunct/>
        <w:topLinePunct w:val="0"/>
        <w:bidi w:val="0"/>
        <w:adjustRightInd/>
        <w:spacing w:line="600" w:lineRule="exact"/>
        <w:ind w:left="0" w:leftChars="0" w:right="0" w:rightChars="0" w:firstLine="640" w:firstLineChars="200"/>
        <w:textAlignment w:val="auto"/>
        <w:outlineLvl w:val="9"/>
        <w:rPr>
          <w:rFonts w:hint="eastAsia" w:ascii="仿宋_GB2312" w:hAnsi="仿宋_GB2312" w:eastAsia="黑体" w:cs="仿宋_GB2312"/>
          <w:b/>
          <w:bCs/>
          <w:color w:val="000000"/>
          <w:sz w:val="32"/>
          <w:szCs w:val="32"/>
        </w:rPr>
      </w:pPr>
      <w:r>
        <w:rPr>
          <w:rFonts w:hint="eastAsia" w:ascii="仿宋_GB2312" w:hAnsi="仿宋_GB2312" w:eastAsia="黑体" w:cs="仿宋_GB2312"/>
          <w:bCs/>
          <w:color w:val="000000"/>
          <w:sz w:val="32"/>
          <w:szCs w:val="32"/>
        </w:rPr>
        <w:t>第四十五条</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color w:val="000000"/>
          <w:sz w:val="32"/>
          <w:szCs w:val="32"/>
        </w:rPr>
        <w:t>县级以上人民政府及其有关部门工作人员在专利工作中滥用职权、玩忽职守、徇私舞弊的，依法给予处分；构成犯罪的，依法追究刑事责任。</w:t>
      </w:r>
    </w:p>
    <w:p>
      <w:pPr>
        <w:pStyle w:val="6"/>
        <w:keepNext w:val="0"/>
        <w:keepLines w:val="0"/>
        <w:pageBreakBefore w:val="0"/>
        <w:kinsoku/>
        <w:wordWrap/>
        <w:overflowPunct/>
        <w:topLinePunct w:val="0"/>
        <w:bidi w:val="0"/>
        <w:adjustRightInd/>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bCs/>
          <w:color w:val="000000"/>
          <w:sz w:val="32"/>
          <w:szCs w:val="32"/>
        </w:rPr>
        <w:t>第四十六条</w:t>
      </w:r>
      <w:r>
        <w:rPr>
          <w:rFonts w:hint="eastAsia" w:ascii="仿宋_GB2312" w:hAnsi="仿宋_GB2312" w:eastAsia="仿宋_GB2312" w:cs="仿宋_GB2312"/>
          <w:bCs/>
          <w:color w:val="000000"/>
          <w:sz w:val="32"/>
          <w:szCs w:val="32"/>
        </w:rPr>
        <w:t xml:space="preserve">  </w:t>
      </w:r>
      <w:r>
        <w:rPr>
          <w:rFonts w:hint="eastAsia" w:ascii="仿宋_GB2312" w:hAnsi="仿宋_GB2312" w:eastAsia="仿宋_GB2312" w:cs="仿宋_GB2312"/>
          <w:color w:val="000000"/>
          <w:sz w:val="32"/>
          <w:szCs w:val="32"/>
        </w:rPr>
        <w:t>违反本条例应当给予处罚的其他行为，依照有关法律、法规的规定予以处罚。</w:t>
      </w:r>
    </w:p>
    <w:p>
      <w:pPr>
        <w:pStyle w:val="6"/>
        <w:keepNext w:val="0"/>
        <w:keepLines w:val="0"/>
        <w:pageBreakBefore w:val="0"/>
        <w:kinsoku/>
        <w:wordWrap/>
        <w:overflowPunct/>
        <w:topLinePunct w:val="0"/>
        <w:bidi w:val="0"/>
        <w:adjustRightInd/>
        <w:spacing w:line="600" w:lineRule="exact"/>
        <w:ind w:left="0" w:leftChars="0" w:right="0" w:rightChars="0" w:firstLine="640" w:firstLineChars="200"/>
        <w:textAlignment w:val="auto"/>
        <w:outlineLvl w:val="9"/>
        <w:rPr>
          <w:rFonts w:hint="eastAsia" w:ascii="仿宋_GB2312" w:hAnsi="仿宋_GB2312" w:eastAsia="黑体"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zh-CN" w:eastAsia="zh-CN"/>
        </w:rPr>
      </w:pPr>
      <w:r>
        <w:rPr>
          <w:rFonts w:hint="eastAsia" w:ascii="黑体" w:hAnsi="黑体" w:eastAsia="黑体" w:cs="黑体"/>
          <w:sz w:val="32"/>
          <w:szCs w:val="32"/>
          <w:lang w:val="zh-CN" w:eastAsia="zh-CN"/>
        </w:rPr>
        <w:t>第</w:t>
      </w:r>
      <w:r>
        <w:rPr>
          <w:rFonts w:hint="eastAsia" w:ascii="黑体" w:hAnsi="黑体" w:eastAsia="黑体" w:cs="黑体"/>
          <w:sz w:val="32"/>
          <w:szCs w:val="32"/>
          <w:lang w:val="en-US" w:eastAsia="zh-CN"/>
        </w:rPr>
        <w:t>八</w:t>
      </w:r>
      <w:r>
        <w:rPr>
          <w:rFonts w:hint="eastAsia" w:ascii="黑体" w:hAnsi="黑体" w:eastAsia="黑体" w:cs="黑体"/>
          <w:sz w:val="32"/>
          <w:szCs w:val="32"/>
          <w:lang w:val="zh-CN" w:eastAsia="zh-CN"/>
        </w:rPr>
        <w:t>章  附则</w:t>
      </w:r>
    </w:p>
    <w:p>
      <w:pPr>
        <w:keepNext w:val="0"/>
        <w:keepLines w:val="0"/>
        <w:pageBreakBefore w:val="0"/>
        <w:kinsoku/>
        <w:wordWrap/>
        <w:overflowPunct/>
        <w:topLinePunct w:val="0"/>
        <w:autoSpaceDE w:val="0"/>
        <w:autoSpaceDN w:val="0"/>
        <w:bidi w:val="0"/>
        <w:adjustRightInd/>
        <w:spacing w:line="600" w:lineRule="exact"/>
        <w:ind w:left="0" w:leftChars="0" w:right="0" w:rightChars="0" w:firstLine="640" w:firstLineChars="200"/>
        <w:jc w:val="center"/>
        <w:textAlignment w:val="auto"/>
        <w:outlineLvl w:val="9"/>
        <w:rPr>
          <w:rFonts w:hint="eastAsia" w:ascii="仿宋_GB2312" w:hAnsi="仿宋_GB2312" w:eastAsia="黑体" w:cs="仿宋_GB2312"/>
          <w:bCs/>
          <w:color w:val="000000"/>
          <w:sz w:val="32"/>
          <w:szCs w:val="32"/>
          <w:lang w:val="zh-CN"/>
        </w:rPr>
      </w:pPr>
    </w:p>
    <w:p>
      <w:pPr>
        <w:keepNext w:val="0"/>
        <w:keepLines w:val="0"/>
        <w:pageBreakBefore w:val="0"/>
        <w:kinsoku/>
        <w:wordWrap/>
        <w:overflowPunct/>
        <w:topLinePunct w:val="0"/>
        <w:bidi w:val="0"/>
        <w:adjustRightInd/>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bCs/>
          <w:color w:val="000000"/>
          <w:sz w:val="32"/>
          <w:szCs w:val="32"/>
          <w:lang w:val="en-US" w:eastAsia="zh-CN"/>
        </w:rPr>
        <w:t xml:space="preserve">    </w:t>
      </w:r>
      <w:r>
        <w:rPr>
          <w:rFonts w:hint="eastAsia" w:ascii="仿宋_GB2312" w:hAnsi="仿宋_GB2312" w:eastAsia="黑体" w:cs="仿宋_GB2312"/>
          <w:bCs/>
          <w:color w:val="000000"/>
          <w:sz w:val="32"/>
          <w:szCs w:val="32"/>
          <w:lang w:val="zh-CN"/>
        </w:rPr>
        <w:t>第四十</w:t>
      </w:r>
      <w:r>
        <w:rPr>
          <w:rFonts w:hint="eastAsia" w:ascii="仿宋_GB2312" w:hAnsi="仿宋_GB2312" w:eastAsia="黑体" w:cs="仿宋_GB2312"/>
          <w:bCs/>
          <w:color w:val="000000"/>
          <w:sz w:val="32"/>
          <w:szCs w:val="32"/>
        </w:rPr>
        <w:t>七</w:t>
      </w:r>
      <w:r>
        <w:rPr>
          <w:rFonts w:hint="eastAsia" w:ascii="仿宋_GB2312" w:hAnsi="仿宋_GB2312" w:eastAsia="黑体" w:cs="仿宋_GB2312"/>
          <w:bCs/>
          <w:color w:val="000000"/>
          <w:sz w:val="32"/>
          <w:szCs w:val="32"/>
          <w:lang w:val="zh-CN"/>
        </w:rPr>
        <w:t>条</w:t>
      </w:r>
      <w:r>
        <w:rPr>
          <w:rFonts w:hint="eastAsia" w:ascii="仿宋_GB2312" w:hAnsi="仿宋_GB2312" w:eastAsia="仿宋_GB2312" w:cs="仿宋_GB2312"/>
          <w:color w:val="000000"/>
          <w:sz w:val="32"/>
          <w:szCs w:val="32"/>
          <w:lang w:val="zh-CN"/>
        </w:rPr>
        <w:t xml:space="preserve">  本条例自2012年12月1日起施行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361"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方正小标宋简体">
    <w:altName w:val="微软雅黑"/>
    <w:panose1 w:val="02010601030101010101"/>
    <w:charset w:val="86"/>
    <w:family w:val="auto"/>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MingLiU_HKSCS">
    <w:panose1 w:val="02020500000000000000"/>
    <w:charset w:val="88"/>
    <w:family w:val="roman"/>
    <w:pitch w:val="default"/>
    <w:sig w:usb0="A00002FF" w:usb1="38CFFCFA" w:usb2="00000016" w:usb3="00000000" w:csb0="00100001"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3964C3"/>
    <w:rsid w:val="05097AD0"/>
    <w:rsid w:val="10B63C0C"/>
    <w:rsid w:val="166E52DE"/>
    <w:rsid w:val="280A3758"/>
    <w:rsid w:val="31DD71E5"/>
    <w:rsid w:val="44611165"/>
    <w:rsid w:val="478C4F11"/>
    <w:rsid w:val="563964C3"/>
    <w:rsid w:val="688B2412"/>
    <w:rsid w:val="6F6010D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p0"/>
    <w:basedOn w:val="1"/>
    <w:qFormat/>
    <w:uiPriority w:val="0"/>
    <w:pPr>
      <w:widowControl/>
    </w:pPr>
    <w:rPr>
      <w:kern w:val="0"/>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31</Words>
  <Characters>32</Characters>
  <Lines>0</Lines>
  <Paragraphs>0</Paragraphs>
  <ScaleCrop>false</ScaleCrop>
  <LinksUpToDate>false</LinksUpToDate>
  <CharactersWithSpaces>38</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2017-03-14T08:09:00Z</dcterms:created>
  <dc:creator>Administrator</dc:creator>
  <cp:lastModifiedBy>lenovo</cp:lastModifiedBy>
  <dcterms:modified xsi:type="dcterms:W3CDTF">2017-03-28T09:32:22Z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