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13B" w:rsidRDefault="005D613B" w:rsidP="00ED12BC">
      <w:pPr>
        <w:adjustRightInd w:val="0"/>
        <w:snapToGrid w:val="0"/>
        <w:spacing w:line="560" w:lineRule="exact"/>
        <w:jc w:val="center"/>
        <w:rPr>
          <w:rFonts w:ascii="方正小标宋简体" w:eastAsia="方正小标宋简体" w:hAnsi="方正小标宋简体" w:cs="方正小标宋简体"/>
          <w:sz w:val="44"/>
          <w:szCs w:val="44"/>
        </w:rPr>
      </w:pPr>
    </w:p>
    <w:p w:rsidR="005D613B" w:rsidRDefault="005D613B" w:rsidP="00ED12BC">
      <w:pPr>
        <w:adjustRightInd w:val="0"/>
        <w:snapToGrid w:val="0"/>
        <w:spacing w:line="560" w:lineRule="exact"/>
        <w:jc w:val="center"/>
        <w:rPr>
          <w:rFonts w:ascii="方正小标宋简体" w:eastAsia="方正小标宋简体" w:hAnsi="方正小标宋简体" w:cs="方正小标宋简体"/>
          <w:sz w:val="44"/>
          <w:szCs w:val="44"/>
        </w:rPr>
      </w:pPr>
    </w:p>
    <w:p w:rsidR="00ED12BC" w:rsidRDefault="0038364F" w:rsidP="00ED12BC">
      <w:pPr>
        <w:snapToGrid w:val="0"/>
        <w:spacing w:line="560" w:lineRule="exact"/>
        <w:jc w:val="center"/>
        <w:rPr>
          <w:rFonts w:ascii="宋体" w:hAnsi="宋体" w:cs="宋体" w:hint="eastAsia"/>
          <w:sz w:val="44"/>
          <w:szCs w:val="44"/>
        </w:rPr>
      </w:pPr>
      <w:r>
        <w:rPr>
          <w:rFonts w:ascii="宋体" w:hAnsi="宋体" w:cs="宋体" w:hint="eastAsia"/>
          <w:sz w:val="44"/>
          <w:szCs w:val="44"/>
        </w:rPr>
        <w:t>新疆维吾尔自治区实施</w:t>
      </w:r>
      <w:r>
        <w:rPr>
          <w:rFonts w:ascii="宋体" w:hAnsi="宋体" w:cs="宋体" w:hint="eastAsia"/>
          <w:sz w:val="44"/>
          <w:szCs w:val="44"/>
        </w:rPr>
        <w:t>《中华人民共和国</w:t>
      </w:r>
    </w:p>
    <w:p w:rsidR="005D613B" w:rsidRDefault="0038364F" w:rsidP="00ED12BC">
      <w:pPr>
        <w:snapToGrid w:val="0"/>
        <w:spacing w:line="560" w:lineRule="exact"/>
        <w:jc w:val="center"/>
        <w:rPr>
          <w:rFonts w:ascii="宋体" w:hAnsi="宋体" w:cs="宋体" w:hint="eastAsia"/>
          <w:sz w:val="44"/>
          <w:szCs w:val="44"/>
        </w:rPr>
      </w:pPr>
      <w:r>
        <w:rPr>
          <w:rFonts w:ascii="宋体" w:hAnsi="宋体" w:cs="宋体" w:hint="eastAsia"/>
          <w:sz w:val="44"/>
          <w:szCs w:val="44"/>
        </w:rPr>
        <w:t>防沙治沙法》办法</w:t>
      </w:r>
    </w:p>
    <w:p w:rsidR="00ED12BC" w:rsidRPr="00ED12BC" w:rsidRDefault="00ED12BC" w:rsidP="00ED12BC">
      <w:pPr>
        <w:snapToGrid w:val="0"/>
        <w:spacing w:line="560" w:lineRule="exact"/>
        <w:jc w:val="center"/>
        <w:rPr>
          <w:rFonts w:ascii="宋体" w:hAnsi="宋体" w:cs="宋体"/>
          <w:sz w:val="44"/>
          <w:szCs w:val="44"/>
        </w:rPr>
      </w:pPr>
    </w:p>
    <w:p w:rsidR="00ED12BC" w:rsidRDefault="0038364F" w:rsidP="00ED12BC">
      <w:pPr>
        <w:snapToGrid w:val="0"/>
        <w:spacing w:line="560" w:lineRule="exact"/>
        <w:ind w:leftChars="337" w:left="708" w:rightChars="296" w:right="622"/>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日新疆维吾尔自治区第十一届人民</w:t>
      </w:r>
    </w:p>
    <w:p w:rsidR="005D613B" w:rsidRDefault="0038364F" w:rsidP="00ED12BC">
      <w:pPr>
        <w:snapToGrid w:val="0"/>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代表会常务委员会第三次会议通过</w:t>
      </w:r>
      <w:r>
        <w:rPr>
          <w:rFonts w:ascii="楷体_GB2312" w:eastAsia="楷体_GB2312" w:hAnsi="楷体_GB2312" w:cs="楷体_GB2312" w:hint="eastAsia"/>
          <w:sz w:val="32"/>
          <w:szCs w:val="32"/>
        </w:rPr>
        <w:t>）</w:t>
      </w:r>
      <w:bookmarkStart w:id="0" w:name="_GoBack"/>
      <w:bookmarkEnd w:id="0"/>
    </w:p>
    <w:p w:rsidR="005D613B" w:rsidRDefault="005D613B" w:rsidP="00ED12BC">
      <w:pPr>
        <w:adjustRightInd w:val="0"/>
        <w:snapToGrid w:val="0"/>
        <w:spacing w:line="560" w:lineRule="exact"/>
        <w:ind w:leftChars="300" w:left="630" w:rightChars="300" w:right="630"/>
        <w:rPr>
          <w:rFonts w:ascii="楷体" w:eastAsia="黑体" w:hAnsi="楷体" w:cs="楷体"/>
          <w:sz w:val="32"/>
          <w:szCs w:val="32"/>
        </w:rPr>
      </w:pPr>
    </w:p>
    <w:p w:rsidR="005D613B" w:rsidRDefault="0038364F" w:rsidP="00ED12BC">
      <w:pPr>
        <w:adjustRightInd w:val="0"/>
        <w:snapToGrid w:val="0"/>
        <w:spacing w:line="560" w:lineRule="exact"/>
        <w:jc w:val="center"/>
        <w:rPr>
          <w:rFonts w:ascii="黑体" w:eastAsia="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ED12BC">
        <w:rPr>
          <w:rFonts w:ascii="黑体" w:eastAsia="黑体" w:hAnsi="黑体" w:cs="黑体" w:hint="eastAsia"/>
          <w:sz w:val="32"/>
          <w:szCs w:val="32"/>
        </w:rPr>
        <w:t xml:space="preserve">  </w:t>
      </w:r>
      <w:r>
        <w:rPr>
          <w:rFonts w:ascii="黑体" w:eastAsia="黑体" w:hAnsi="黑体" w:cs="黑体" w:hint="eastAsia"/>
          <w:sz w:val="32"/>
          <w:szCs w:val="32"/>
        </w:rPr>
        <w:t>则</w:t>
      </w:r>
    </w:p>
    <w:p w:rsidR="005D613B" w:rsidRDefault="0038364F" w:rsidP="00ED12BC">
      <w:pPr>
        <w:snapToGrid w:val="0"/>
        <w:spacing w:line="560" w:lineRule="exact"/>
        <w:jc w:val="left"/>
        <w:rPr>
          <w:rFonts w:ascii="仿宋_GB2312" w:eastAsia="黑体"/>
          <w:b/>
          <w:sz w:val="31"/>
        </w:rPr>
      </w:pPr>
      <w:r>
        <w:rPr>
          <w:rFonts w:ascii="仿宋_GB2312" w:eastAsia="黑体" w:hint="eastAsia"/>
          <w:b/>
          <w:sz w:val="31"/>
        </w:rPr>
        <w:t xml:space="preserve">    </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黑体" w:hint="eastAsia"/>
          <w:b/>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为预防土地沙化，治理沙化土地，维护生态安全，促进经济和社会可持续发展，根据《中华人民共和国防沙治沙法》和有关法律、法规，结合自治区实际，制定本办法。</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在自治区行政区域内从事土地沙化的预防、沙化土地的治理和开发利用活动，应当遵守本办法。</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沙化土地的具体范围由自治区人民政府依据国务院批准的全国防沙治沙规划确定，并向社会公布。</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县级以上人民政府应当将防沙治沙纳入国民经济和社会发展规划，定期向本级人民代表大会及其常务委员会报告防沙治沙工作情况，并实行行政领导防沙治沙任期目标责任考核奖惩制度。</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第四条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县级以上人民政府组织、领导、协调本行政区域内</w:t>
      </w:r>
      <w:r>
        <w:rPr>
          <w:rFonts w:ascii="仿宋_GB2312" w:eastAsia="仿宋_GB2312" w:hAnsi="仿宋_GB2312" w:cs="仿宋_GB2312" w:hint="eastAsia"/>
          <w:sz w:val="32"/>
          <w:szCs w:val="32"/>
        </w:rPr>
        <w:lastRenderedPageBreak/>
        <w:t>的防沙治沙工作，具体工作由林业行政主管部门负责。</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林业、农业、畜牧、水利、财政、发展改革、国土资源、环境保护等行政主管部门和气象主管机构，在各自的职责范围内，负责</w:t>
      </w:r>
      <w:r>
        <w:rPr>
          <w:rFonts w:ascii="仿宋_GB2312" w:eastAsia="仿宋_GB2312" w:hAnsi="仿宋_GB2312" w:cs="仿宋_GB2312" w:hint="eastAsia"/>
          <w:sz w:val="32"/>
          <w:szCs w:val="32"/>
        </w:rPr>
        <w:t>防沙治沙的相关工作。</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第五条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使用土地的单位和个人，有防止该土地沙化的义务。</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使用已经沙化的土地的单位和个人，有治理该沙化土地的义务。</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防沙治沙者的合法权益受法律保障。</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第六条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在防沙治沙工作中作出显著成绩的单位和个人，由各级人民政府给予表彰或者奖励。</w:t>
      </w:r>
    </w:p>
    <w:p w:rsidR="005D613B" w:rsidRDefault="005D613B" w:rsidP="00ED12BC">
      <w:pPr>
        <w:snapToGrid w:val="0"/>
        <w:spacing w:line="560" w:lineRule="exact"/>
        <w:jc w:val="left"/>
        <w:rPr>
          <w:rFonts w:ascii="仿宋_GB2312" w:eastAsia="黑体" w:hAnsi="仿宋_GB2312" w:cs="仿宋_GB2312"/>
          <w:sz w:val="32"/>
          <w:szCs w:val="32"/>
        </w:rPr>
      </w:pPr>
    </w:p>
    <w:p w:rsidR="005D613B" w:rsidRDefault="0038364F" w:rsidP="00ED12BC">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防沙治沙规划</w:t>
      </w:r>
    </w:p>
    <w:p w:rsidR="005D613B" w:rsidRDefault="005D613B" w:rsidP="00ED12BC">
      <w:pPr>
        <w:snapToGrid w:val="0"/>
        <w:spacing w:line="560" w:lineRule="exact"/>
        <w:jc w:val="center"/>
        <w:rPr>
          <w:rFonts w:ascii="仿宋_GB2312" w:eastAsia="黑体" w:hAnsi="仿宋_GB2312" w:cs="仿宋_GB2312"/>
          <w:sz w:val="32"/>
          <w:szCs w:val="32"/>
        </w:rPr>
      </w:pP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黑体"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沙治沙实行统一规划。自治区人民政府林业行政主管部门依据全国防沙治沙规划，会同农业、畜牧、水利、财政、发展改革、国土资源、环境保护等行政主管部门和气象主管机构编制自治区防沙治沙规划，经自治区人民政府审核，报国务院或者国务院指定的有关部门批准后组织实施。</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州、市（地）、县（市、区）人民政府依据上一级人民政府防沙治沙规划，组织林业等有关部门编制本行政区域防沙治沙规划，报上一级人民政府批准后组织实施。</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编制防沙治沙规划，应当根据沙化土地所处的地理</w:t>
      </w:r>
      <w:r>
        <w:rPr>
          <w:rFonts w:ascii="仿宋_GB2312" w:eastAsia="仿宋_GB2312" w:hAnsi="仿宋_GB2312" w:cs="仿宋_GB2312" w:hint="eastAsia"/>
          <w:sz w:val="32"/>
          <w:szCs w:val="32"/>
        </w:rPr>
        <w:lastRenderedPageBreak/>
        <w:t>位置、土地类型、植被状况</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气候和水资源状况、土地沙化程度等自然条件及其发挥的生态、经济功能，将沙化土地划为封禁保护区、恢复保护区和治理利用区。</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封禁保护区是指规划期内不具备治理条件，或者其他不宜开发利用的连片沙化土地。</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恢复保护区是指沙化比较严重，但具有自然恢复能力的连片沙化土地，以及经过治理已形成固定沙地，但稳定性差，一经破坏容易引起再度活化的连片沙化土地。</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治理利用区是指宜于治理或者治理后能够适度利用的沙化土地。</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防沙治沙规划的编制机关应当将编制规划的依据和理由、具体内容、目标及其实施方</w:t>
      </w:r>
      <w:r>
        <w:rPr>
          <w:rFonts w:ascii="仿宋_GB2312" w:eastAsia="仿宋_GB2312" w:hAnsi="仿宋_GB2312" w:cs="仿宋_GB2312" w:hint="eastAsia"/>
          <w:sz w:val="32"/>
          <w:szCs w:val="32"/>
        </w:rPr>
        <w:t>法等进行公示，征求社会公众和利益相关者的意见。</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县级以上人民政府应当加强防沙治沙规划的组织实施工作，定期对规划的实施情况进行检查和评估。</w:t>
      </w:r>
    </w:p>
    <w:p w:rsidR="005D613B" w:rsidRDefault="005D613B" w:rsidP="00ED12BC">
      <w:pPr>
        <w:snapToGrid w:val="0"/>
        <w:spacing w:line="560" w:lineRule="exact"/>
        <w:rPr>
          <w:rFonts w:ascii="仿宋_GB2312" w:eastAsia="黑体" w:hAnsi="仿宋_GB2312" w:cs="仿宋_GB2312"/>
          <w:sz w:val="32"/>
          <w:szCs w:val="32"/>
        </w:rPr>
      </w:pPr>
    </w:p>
    <w:p w:rsidR="005D613B" w:rsidRDefault="0038364F" w:rsidP="00ED12BC">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土地沙化预防</w:t>
      </w:r>
    </w:p>
    <w:p w:rsidR="005D613B" w:rsidRDefault="005D613B" w:rsidP="00ED12BC">
      <w:pPr>
        <w:snapToGrid w:val="0"/>
        <w:spacing w:line="560" w:lineRule="exact"/>
        <w:jc w:val="center"/>
        <w:rPr>
          <w:rFonts w:ascii="仿宋_GB2312" w:eastAsia="黑体" w:hAnsi="仿宋_GB2312" w:cs="仿宋_GB2312"/>
          <w:sz w:val="32"/>
          <w:szCs w:val="32"/>
        </w:rPr>
      </w:pP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林业行政主管部门和其他有关部门应当按照国家有关土地沙化监测技术规程，在主要风沙口、沙尘暴策源地和频发区、土地沙化扩展地区及其他生态区位重要地区分类布设监测站点，进行土地沙化监测，并将监测结果向本</w:t>
      </w:r>
      <w:r>
        <w:rPr>
          <w:rFonts w:ascii="仿宋_GB2312" w:eastAsia="仿宋_GB2312" w:hAnsi="仿宋_GB2312" w:cs="仿宋_GB2312" w:hint="eastAsia"/>
          <w:sz w:val="32"/>
          <w:szCs w:val="32"/>
        </w:rPr>
        <w:lastRenderedPageBreak/>
        <w:t>级人民政府和上一级林业部门或者其他有关部门报告。监测结果应当定期向社会公布。</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第十二条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县级以上人民政府应当制定重大沙尘暴灾害应急预案，建立健全突发沙尘暴灾害的预测、预报、预防和灾后救援的组织管理和紧急处置机制。</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县级以上人民政府应当按照防沙治沙规划，划出一定面积的土地，在沙漠周边、绿洲内部因地制宜地营造防风固沙林网、林带，做到农田防护林面积不少于耕地面积的</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，人工草场、饲草饲料地防护林面积不少于人工草场、饲草饲料地面积的</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县级以上人民政府林业行政主管部门应当严格控制防风固沙林网、林带的采伐。</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对乔木型防风固沙林网、林带进行抚育</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更新，</w:t>
      </w:r>
      <w:r>
        <w:rPr>
          <w:rFonts w:ascii="仿宋_GB2312" w:eastAsia="仿宋_GB2312" w:hAnsi="仿宋_GB2312" w:cs="仿宋_GB2312" w:hint="eastAsia"/>
          <w:sz w:val="32"/>
          <w:szCs w:val="32"/>
        </w:rPr>
        <w:t>确需采伐林网、林带的，应当先形成接替林网、林带，并经自治区林业行政主管部门验收。</w:t>
      </w:r>
    </w:p>
    <w:p w:rsidR="005D613B" w:rsidRDefault="0038364F" w:rsidP="00ED12BC">
      <w:pPr>
        <w:snapToGrid w:val="0"/>
        <w:spacing w:line="560" w:lineRule="exact"/>
        <w:ind w:firstLine="615"/>
        <w:jc w:val="left"/>
        <w:rPr>
          <w:rFonts w:ascii="仿宋_GB2312" w:eastAsia="黑体" w:hAnsi="仿宋_GB2312" w:cs="仿宋_GB2312"/>
          <w:sz w:val="32"/>
          <w:szCs w:val="32"/>
        </w:rPr>
      </w:pPr>
      <w:r>
        <w:rPr>
          <w:rFonts w:ascii="仿宋_GB2312" w:eastAsia="仿宋_GB2312" w:hAnsi="仿宋_GB2312" w:cs="仿宋_GB2312" w:hint="eastAsia"/>
          <w:sz w:val="32"/>
          <w:szCs w:val="32"/>
        </w:rPr>
        <w:t>沙漠和流动沙地边缘等林木更新困难地带的防风固沙林网、林带，不得批准采伐。</w:t>
      </w:r>
    </w:p>
    <w:p w:rsidR="005D613B" w:rsidRDefault="0038364F" w:rsidP="00ED12BC">
      <w:pPr>
        <w:snapToGrid w:val="0"/>
        <w:spacing w:line="560" w:lineRule="exact"/>
        <w:ind w:firstLine="615"/>
        <w:jc w:val="left"/>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禁止在沙漠边缘地带和林地、草原开垦耕地；已经开垦并对生态产生不良影响的，县级以上人民政府应当有计划地组织退耕还林还草。</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第十六条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禁止在沙化土地上砍挖灌木、药材等防风固沙植物和从事其他破坏植被的活动。</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在封禁保护区内进行铁路、公路、石油、天然气开发、电力、通讯等工程建设的，应当经自治区人民政府审核，报国务院或者国务院指定的部</w:t>
      </w:r>
      <w:r>
        <w:rPr>
          <w:rFonts w:ascii="仿宋_GB2312" w:eastAsia="仿宋_GB2312" w:hAnsi="仿宋_GB2312" w:cs="仿宋_GB2312" w:hint="eastAsia"/>
          <w:sz w:val="32"/>
          <w:szCs w:val="32"/>
        </w:rPr>
        <w:t>门同意。</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封禁保护区由所在地的县级人民政府设置标牌，明示封禁保护区的范围、界限和保护措施。</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在恢复保护区内经县级以上人民政府林业行政主管部门批准，可以进行抚育、复壮、补植等活动，改善和提高恢复保护区的生态功能。</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恢复保护区可以实行阶段性封禁。具体封禁期限、范围由县级以上人民政府根据本地区实际确定。</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第十八条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在治理利用区内从事种植、养殖、加工、开采等开发经营活动的，必须遵守有关法律、法规，并采取必要的防护措施，先治理后利用，防止加重土地沙化。</w:t>
      </w:r>
      <w:r>
        <w:rPr>
          <w:rFonts w:ascii="仿宋_GB2312" w:eastAsia="仿宋_GB2312" w:hAnsi="仿宋_GB2312" w:cs="仿宋_GB2312" w:hint="eastAsia"/>
          <w:sz w:val="32"/>
          <w:szCs w:val="32"/>
        </w:rPr>
        <w:t xml:space="preserve"> </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第十九条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县级以上人民政府应当有计划地实施划区轮牧、季节性休牧和禁牧。在休牧和禁牧地区，任何单位和个人不得批准或者从事放牧。</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县级以上人民政府应当加强防风固沙林、沙生植被及沙化草原有害生物的预防和治理工作，采取不污染环境以及对人、畜和各种有益生物安全的治理措施，保护沙化土地区域内生物多样性。</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第二十一条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县级以上人民政府水行政主管部门或者流域管理机构在编制流域和区域规划时，应当统筹配置防沙治沙用水，</w:t>
      </w:r>
      <w:r>
        <w:rPr>
          <w:rFonts w:ascii="仿宋_GB2312" w:eastAsia="仿宋_GB2312" w:hAnsi="仿宋_GB2312" w:cs="仿宋_GB2312" w:hint="eastAsia"/>
          <w:sz w:val="32"/>
          <w:szCs w:val="32"/>
        </w:rPr>
        <w:lastRenderedPageBreak/>
        <w:t>合理分配河流上、中、下游用水，防止因水资源分配不合理和过度利用导致自然植被</w:t>
      </w:r>
      <w:r>
        <w:rPr>
          <w:rFonts w:ascii="仿宋_GB2312" w:eastAsia="仿宋_GB2312" w:hAnsi="仿宋_GB2312" w:cs="仿宋_GB2312" w:hint="eastAsia"/>
          <w:sz w:val="32"/>
          <w:szCs w:val="32"/>
        </w:rPr>
        <w:t>退化和土地沙化。</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第二十二条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各级人民政府应当因地制宜地开发风能、太阳能、沼气等能源，以减少对植被的破坏。</w:t>
      </w:r>
      <w:r>
        <w:rPr>
          <w:rFonts w:ascii="仿宋_GB2312" w:eastAsia="仿宋_GB2312" w:hAnsi="仿宋_GB2312" w:cs="仿宋_GB2312" w:hint="eastAsia"/>
          <w:sz w:val="32"/>
          <w:szCs w:val="32"/>
        </w:rPr>
        <w:t xml:space="preserve">    </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在沙化土地范围内从事开发建设活动的，应当依法进行环境影响评价。环境保护行政主管部门在审批环境影响评价文件时，应当就其中有关防沙治沙的内容征求同级林业行政主管部门的意见。</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建设单位应当按照经批准的环境影响评价文件有关防沙治沙的要求，采取相应的土地沙化防治措施。</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对沙化土地上的典型自然景观、沙生植被以及珍稀濒危野生动物集中分布的区域或者</w:t>
      </w:r>
      <w:r>
        <w:rPr>
          <w:rFonts w:ascii="仿宋_GB2312" w:eastAsia="仿宋_GB2312" w:hAnsi="仿宋_GB2312" w:cs="仿宋_GB2312" w:hint="eastAsia"/>
          <w:sz w:val="32"/>
          <w:szCs w:val="32"/>
        </w:rPr>
        <w:t>对防沙治沙具有特殊保护价值的区域，应当按照国家和自治区有关规定建立自然保护区，加强保护和管理。</w:t>
      </w:r>
    </w:p>
    <w:p w:rsidR="005D613B" w:rsidRDefault="0038364F" w:rsidP="00ED12BC">
      <w:pPr>
        <w:snapToGrid w:val="0"/>
        <w:spacing w:line="560" w:lineRule="exact"/>
        <w:jc w:val="lef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p>
    <w:p w:rsidR="005D613B" w:rsidRDefault="0038364F" w:rsidP="00ED12BC">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土地沙化治理</w:t>
      </w:r>
    </w:p>
    <w:p w:rsidR="005D613B" w:rsidRDefault="005D613B" w:rsidP="00ED12BC">
      <w:pPr>
        <w:snapToGrid w:val="0"/>
        <w:spacing w:line="560" w:lineRule="exact"/>
        <w:jc w:val="center"/>
        <w:rPr>
          <w:rFonts w:ascii="仿宋_GB2312" w:eastAsia="黑体" w:hAnsi="仿宋_GB2312" w:cs="仿宋_GB2312"/>
          <w:sz w:val="32"/>
          <w:szCs w:val="32"/>
        </w:rPr>
      </w:pP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县级以上人民政府应当对严重沙化的耕地有计划地实施退耕还林还草；尚未实施退耕还林还草的沙化耕地，应当改革农作制度，推行免耕、少耕和秸秆覆盖等保护性措施。</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对沙化的草原各级人民政府应当采取综合治理措施，恢复植被，改善草原生态功能。</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lastRenderedPageBreak/>
        <w:t xml:space="preserve">    </w:t>
      </w:r>
      <w:r>
        <w:rPr>
          <w:rFonts w:ascii="仿宋_GB2312" w:eastAsia="仿宋_GB2312" w:hAnsi="仿宋_GB2312" w:cs="仿宋_GB2312" w:hint="eastAsia"/>
          <w:sz w:val="32"/>
          <w:szCs w:val="32"/>
        </w:rPr>
        <w:t>鼓励单位和个人因地制宜地建设人工草场，采取牲畜圈养、围栏封育、治虫灭鼠等措施培育草原，防止沙化。</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鼓励单位和个人自愿捐资或者以其他形式开展公益性治沙活动。</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县级以上人民政府或者有关行政主管部门，应当为公益性治沙活动无偿提供治理地点和实用技术服务。</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鼓励、支持、引导单位和个人从事营利性治沙活动。不具有沙化土地所有权或者使用权的，可以与土地所有权或者使用权人签订治理协议，依法取得沙化土地使用权，从事营利性治沙活动。</w:t>
      </w:r>
      <w:r>
        <w:rPr>
          <w:rFonts w:ascii="仿宋_GB2312" w:eastAsia="仿宋_GB2312" w:hAnsi="仿宋_GB2312" w:cs="仿宋_GB2312" w:hint="eastAsia"/>
          <w:sz w:val="32"/>
          <w:szCs w:val="32"/>
        </w:rPr>
        <w:t xml:space="preserve"> </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经批准从事营利性治沙活动的单位和个人，应当按照林业行政主管部门公示的治理方案进行治理；沙化土地治理后，林草覆盖率应当不低于</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铁路、公路、河流、水渠两侧以及城镇、村庄、厂矿和水库等周围的沙化土地，实行单位治理责任制。责任单位应当按照县级以上人民政府下达的治理责任书进行治理。林业行政主管部门依法对防沙治沙单位的防沙治沙责任落实情况进行监督检查。</w:t>
      </w:r>
      <w:r>
        <w:rPr>
          <w:rFonts w:ascii="仿宋_GB2312" w:eastAsia="仿宋_GB2312" w:hAnsi="仿宋_GB2312" w:cs="仿宋_GB2312" w:hint="eastAsia"/>
          <w:sz w:val="32"/>
          <w:szCs w:val="32"/>
        </w:rPr>
        <w:t xml:space="preserve"> </w:t>
      </w:r>
    </w:p>
    <w:p w:rsidR="005D613B" w:rsidRDefault="005D613B" w:rsidP="00ED12BC">
      <w:pPr>
        <w:snapToGrid w:val="0"/>
        <w:spacing w:line="560" w:lineRule="exact"/>
        <w:jc w:val="left"/>
        <w:rPr>
          <w:rFonts w:ascii="仿宋_GB2312" w:eastAsia="黑体" w:hAnsi="仿宋_GB2312" w:cs="仿宋_GB2312"/>
          <w:sz w:val="32"/>
          <w:szCs w:val="32"/>
        </w:rPr>
      </w:pPr>
    </w:p>
    <w:p w:rsidR="005D613B" w:rsidRDefault="0038364F" w:rsidP="00ED12BC">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保障措施</w:t>
      </w:r>
    </w:p>
    <w:p w:rsidR="005D613B" w:rsidRDefault="005D613B" w:rsidP="00ED12BC">
      <w:pPr>
        <w:snapToGrid w:val="0"/>
        <w:spacing w:line="560" w:lineRule="exact"/>
        <w:jc w:val="center"/>
        <w:rPr>
          <w:rFonts w:ascii="仿宋_GB2312" w:eastAsia="黑体" w:hAnsi="仿宋_GB2312" w:cs="仿宋_GB2312"/>
          <w:sz w:val="32"/>
          <w:szCs w:val="32"/>
        </w:rPr>
      </w:pP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黑体" w:hAnsi="仿宋_GB2312" w:cs="仿宋_GB2312" w:hint="eastAsia"/>
          <w:b/>
          <w:sz w:val="32"/>
          <w:szCs w:val="32"/>
        </w:rPr>
        <w:t xml:space="preserve">    </w:t>
      </w:r>
      <w:r>
        <w:rPr>
          <w:rFonts w:ascii="仿宋_GB2312" w:eastAsia="黑体" w:hAnsi="仿宋_GB2312" w:cs="仿宋_GB2312" w:hint="eastAsia"/>
          <w:sz w:val="32"/>
          <w:szCs w:val="32"/>
        </w:rPr>
        <w:t>第三十一条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自治区、州、市（地）、县（市、区）人民政</w:t>
      </w:r>
      <w:r>
        <w:rPr>
          <w:rFonts w:ascii="仿宋_GB2312" w:eastAsia="仿宋_GB2312" w:hAnsi="仿宋_GB2312" w:cs="仿宋_GB2312" w:hint="eastAsia"/>
          <w:sz w:val="32"/>
          <w:szCs w:val="32"/>
        </w:rPr>
        <w:lastRenderedPageBreak/>
        <w:t>府应当在本级财政预算中安排防沙治沙专项资金，用于重点区域的防沙治沙工作，并积极引导社会资金投入防沙治沙。</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任何单位和个人不得截留、挪用防沙治沙资金。</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第三十二条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防沙治沙活动实行下列优惠措施：</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（一）防沙治沙造林用水，执行国家和自治区有关用水优惠规定；</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（二）治沙造林、育苗、种草用电，执行农业排灌用电价格；</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（三）治理国有未利用沙化土地的土地使用权，可以实行划拨方式，使用期限不超过</w:t>
      </w:r>
      <w:r>
        <w:rPr>
          <w:rFonts w:ascii="仿宋_GB2312" w:eastAsia="仿宋_GB2312" w:hAnsi="仿宋_GB2312" w:cs="仿宋_GB2312" w:hint="eastAsia"/>
          <w:sz w:val="32"/>
          <w:szCs w:val="32"/>
        </w:rPr>
        <w:t>70</w:t>
      </w:r>
      <w:r>
        <w:rPr>
          <w:rFonts w:ascii="仿宋_GB2312" w:eastAsia="仿宋_GB2312" w:hAnsi="仿宋_GB2312" w:cs="仿宋_GB2312" w:hint="eastAsia"/>
          <w:sz w:val="32"/>
          <w:szCs w:val="32"/>
        </w:rPr>
        <w:t>年，但应当按约定完成治理目标；</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（四）农田林带占地及林带所胁之地，归农田承包者使用，不计入农田承包基数；</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（五）单位和个人投资进行防沙治沙的，在投资阶段免征有关税收；取得一定收益后，可以免征或者减征有关税收，造林达到规定规模的，可以享受国家和自治区重点公益林管护政策。</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县级以上人民政府应当对防沙治沙科学研究和技术推广提供相应的资金支持，防沙治沙重点科研项目和示范、推广项目，应当优先立项，优先安排经费。</w:t>
      </w:r>
    </w:p>
    <w:p w:rsidR="005D613B" w:rsidRDefault="005D613B" w:rsidP="00ED12BC">
      <w:pPr>
        <w:snapToGrid w:val="0"/>
        <w:spacing w:line="560" w:lineRule="exact"/>
        <w:jc w:val="left"/>
        <w:rPr>
          <w:rFonts w:ascii="仿宋_GB2312" w:eastAsia="黑体" w:hAnsi="仿宋_GB2312" w:cs="仿宋_GB2312"/>
          <w:sz w:val="32"/>
          <w:szCs w:val="32"/>
        </w:rPr>
      </w:pPr>
    </w:p>
    <w:p w:rsidR="005D613B" w:rsidRDefault="0038364F" w:rsidP="00ED12BC">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5D613B" w:rsidRDefault="005D613B" w:rsidP="00ED12BC">
      <w:pPr>
        <w:snapToGrid w:val="0"/>
        <w:spacing w:line="560" w:lineRule="exact"/>
        <w:jc w:val="center"/>
        <w:rPr>
          <w:rFonts w:ascii="仿宋_GB2312" w:eastAsia="黑体" w:hAnsi="仿宋_GB2312" w:cs="仿宋_GB2312"/>
          <w:sz w:val="32"/>
          <w:szCs w:val="32"/>
        </w:rPr>
      </w:pP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违反本办法规定，在封禁保护区、恢复保护区内砍挖林木</w:t>
      </w:r>
      <w:r>
        <w:rPr>
          <w:rFonts w:ascii="仿宋_GB2312" w:eastAsia="仿宋_GB2312" w:hAnsi="仿宋_GB2312" w:cs="仿宋_GB2312" w:hint="eastAsia"/>
          <w:sz w:val="32"/>
          <w:szCs w:val="32"/>
          <w:bdr w:val="single" w:sz="2" w:space="0" w:color="FFFFFF"/>
        </w:rPr>
        <w:t>和其他</w:t>
      </w:r>
      <w:r>
        <w:rPr>
          <w:rFonts w:ascii="仿宋_GB2312" w:eastAsia="仿宋_GB2312" w:hAnsi="仿宋_GB2312" w:cs="仿宋_GB2312" w:hint="eastAsia"/>
          <w:sz w:val="32"/>
          <w:szCs w:val="32"/>
        </w:rPr>
        <w:t>植物、从事开垦活动破坏林草植被的，由县级</w:t>
      </w:r>
      <w:r>
        <w:rPr>
          <w:rFonts w:ascii="仿宋_GB2312" w:eastAsia="仿宋_GB2312" w:hAnsi="仿宋_GB2312" w:cs="仿宋_GB2312" w:hint="eastAsia"/>
          <w:sz w:val="32"/>
          <w:szCs w:val="32"/>
        </w:rPr>
        <w:lastRenderedPageBreak/>
        <w:t>以上人民政府林业行政主管部门或者其他行政主管部门按照各自职责责令其停止违法行为，限期恢复林草植被，没收违法所得，可以并处毁坏林草价值一倍以上五倍以下罚款；构成犯罪的，依法追究刑事责任。</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在治理利用区内从事种植、养殖、加工、开采等开发经营活动，未采取土地沙化防治措施或者采取措施不力，造成该土地沙化加重的，由县级以上人民政府林业行政主管部门或者其他主管部门责令限期治理；逾期未治理的，责令其停止开发经营活动，可以并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w:t>
      </w:r>
      <w:r>
        <w:rPr>
          <w:rFonts w:ascii="仿宋_GB2312" w:eastAsia="仿宋_GB2312" w:hAnsi="仿宋_GB2312" w:cs="仿宋_GB2312" w:hint="eastAsia"/>
          <w:sz w:val="32"/>
          <w:szCs w:val="32"/>
        </w:rPr>
        <w:t>罚款；造成土地严重沙化，属于国有土地的，县级以上人民政府可以收回国有土地使用权；属于农民集体所有土地的，有合同约定的依照合同的约定办理，没有合同约定或者约定不明的，依照有关法律、法规的规定执行。构成犯罪的，依法追究刑事责任。</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违反本办法规定，在休牧和禁牧地区放牧的，由县级以上人民政府草原和林业行政主管部门按照各自职责，责令改正，并可以按标准畜每只（头）处</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元以下罚款。</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防沙治沙有关行政主管部门及其工作人员有下列行为之一的，对直接负责的主管人员和其他直接责任人员，由</w:t>
      </w:r>
      <w:r>
        <w:rPr>
          <w:rFonts w:ascii="仿宋_GB2312" w:eastAsia="仿宋_GB2312" w:hAnsi="仿宋_GB2312" w:cs="仿宋_GB2312" w:hint="eastAsia"/>
          <w:sz w:val="32"/>
          <w:szCs w:val="32"/>
        </w:rPr>
        <w:t>本单位、监察机关或者上级行政主管部门依法给予行政处分；构成犯罪的，依法追究刑事责任</w:t>
      </w:r>
      <w:r>
        <w:rPr>
          <w:rFonts w:ascii="仿宋_GB2312" w:eastAsia="仿宋_GB2312" w:hAnsi="仿宋_GB2312" w:cs="仿宋_GB2312" w:hint="eastAsia"/>
          <w:b/>
          <w:sz w:val="32"/>
          <w:szCs w:val="32"/>
        </w:rPr>
        <w:t>：</w:t>
      </w:r>
    </w:p>
    <w:p w:rsidR="005D613B" w:rsidRDefault="0038364F" w:rsidP="00ED12BC">
      <w:pPr>
        <w:snapToGrid w:val="0"/>
        <w:spacing w:line="560" w:lineRule="exact"/>
        <w:ind w:firstLineChars="232" w:firstLine="742"/>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（一）侵害防沙治沙者合法权益的；</w:t>
      </w:r>
    </w:p>
    <w:p w:rsidR="005D613B" w:rsidRDefault="0038364F" w:rsidP="00ED12BC">
      <w:pPr>
        <w:snapToGrid w:val="0"/>
        <w:spacing w:line="560" w:lineRule="exact"/>
        <w:ind w:firstLineChars="232" w:firstLine="742"/>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（二）擅自修改降低已批准的防沙治沙规划确定的目标任</w:t>
      </w:r>
      <w:r>
        <w:rPr>
          <w:rFonts w:ascii="仿宋_GB2312" w:eastAsia="仿宋_GB2312" w:hAnsi="仿宋_GB2312" w:cs="仿宋_GB2312" w:hint="eastAsia"/>
          <w:sz w:val="32"/>
          <w:szCs w:val="32"/>
        </w:rPr>
        <w:lastRenderedPageBreak/>
        <w:t>务，或者不按批准的防沙治沙规划进行治理，导致规划确定的目标任务未能实现的；</w:t>
      </w:r>
    </w:p>
    <w:p w:rsidR="005D613B" w:rsidRDefault="0038364F" w:rsidP="00ED12BC">
      <w:pPr>
        <w:snapToGrid w:val="0"/>
        <w:spacing w:line="560" w:lineRule="exact"/>
        <w:ind w:firstLineChars="232" w:firstLine="742"/>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（三）擅自批准采伐防风固沙林网、林带的，擅自批准在沙化土地范围内从事开发经营活动的，批准在休牧、禁牧地区放牧的，批准在沙漠边缘地带和林地、草原开垦耕地的；</w:t>
      </w:r>
    </w:p>
    <w:p w:rsidR="005D613B" w:rsidRDefault="0038364F" w:rsidP="00ED12BC">
      <w:pPr>
        <w:snapToGrid w:val="0"/>
        <w:spacing w:line="560" w:lineRule="exact"/>
        <w:ind w:firstLineChars="232" w:firstLine="742"/>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（四）截留、挪用防沙治沙资金的；</w:t>
      </w:r>
    </w:p>
    <w:p w:rsidR="005D613B" w:rsidRDefault="0038364F" w:rsidP="00ED12BC">
      <w:pPr>
        <w:snapToGrid w:val="0"/>
        <w:spacing w:line="560" w:lineRule="exact"/>
        <w:ind w:firstLineChars="232" w:firstLine="742"/>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（五）其他滥用职权、玩忽职守、徇私舞弊的行为。</w:t>
      </w: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w:t>
      </w:r>
      <w:r>
        <w:rPr>
          <w:rFonts w:ascii="仿宋_GB2312" w:eastAsia="仿宋_GB2312" w:hAnsi="仿宋_GB2312" w:cs="仿宋_GB2312" w:hint="eastAsia"/>
          <w:sz w:val="32"/>
          <w:szCs w:val="32"/>
        </w:rPr>
        <w:t>办法规定，依法应当给予行政处罚的其他行为，依照有关法律、法规的规定处罚。</w:t>
      </w:r>
    </w:p>
    <w:p w:rsidR="005D613B" w:rsidRDefault="005D613B" w:rsidP="00ED12BC">
      <w:pPr>
        <w:snapToGrid w:val="0"/>
        <w:spacing w:line="560" w:lineRule="exact"/>
        <w:jc w:val="left"/>
        <w:rPr>
          <w:rFonts w:ascii="仿宋_GB2312" w:eastAsia="黑体" w:hAnsi="仿宋_GB2312" w:cs="仿宋_GB2312"/>
          <w:sz w:val="32"/>
          <w:szCs w:val="32"/>
        </w:rPr>
      </w:pPr>
    </w:p>
    <w:p w:rsidR="005D613B" w:rsidRDefault="0038364F" w:rsidP="00ED12BC">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ED12BC">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5D613B" w:rsidRDefault="005D613B" w:rsidP="00ED12BC">
      <w:pPr>
        <w:snapToGrid w:val="0"/>
        <w:spacing w:line="560" w:lineRule="exact"/>
        <w:jc w:val="center"/>
        <w:rPr>
          <w:rFonts w:ascii="仿宋_GB2312" w:eastAsia="黑体" w:hAnsi="仿宋_GB2312" w:cs="仿宋_GB2312"/>
          <w:sz w:val="32"/>
          <w:szCs w:val="32"/>
        </w:rPr>
      </w:pPr>
    </w:p>
    <w:p w:rsidR="005D613B" w:rsidRDefault="0038364F" w:rsidP="00ED12BC">
      <w:pPr>
        <w:snapToGrid w:val="0"/>
        <w:spacing w:line="560" w:lineRule="exact"/>
        <w:jc w:val="lef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第三十九条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5D613B" w:rsidRDefault="005D613B" w:rsidP="00ED12BC">
      <w:pPr>
        <w:snapToGrid w:val="0"/>
        <w:spacing w:line="560" w:lineRule="exact"/>
        <w:jc w:val="left"/>
        <w:rPr>
          <w:rFonts w:asciiTheme="minorEastAsia" w:eastAsiaTheme="minorEastAsia" w:hAnsiTheme="minorEastAsia" w:cstheme="minorEastAsia"/>
          <w:sz w:val="32"/>
          <w:szCs w:val="32"/>
        </w:rPr>
      </w:pPr>
    </w:p>
    <w:p w:rsidR="005D613B" w:rsidRDefault="005D613B" w:rsidP="00ED12BC">
      <w:pPr>
        <w:snapToGrid w:val="0"/>
        <w:spacing w:line="560" w:lineRule="exact"/>
        <w:rPr>
          <w:rFonts w:asciiTheme="minorEastAsia" w:eastAsiaTheme="minorEastAsia" w:hAnsiTheme="minorEastAsia" w:cstheme="minorEastAsia"/>
          <w:sz w:val="32"/>
          <w:szCs w:val="32"/>
        </w:rPr>
      </w:pPr>
    </w:p>
    <w:p w:rsidR="005D613B" w:rsidRDefault="005D613B" w:rsidP="00ED12BC">
      <w:pPr>
        <w:spacing w:line="560" w:lineRule="exact"/>
        <w:rPr>
          <w:rFonts w:asciiTheme="minorEastAsia" w:eastAsiaTheme="minorEastAsia" w:hAnsiTheme="minorEastAsia" w:cstheme="minorEastAsia"/>
          <w:sz w:val="32"/>
          <w:szCs w:val="32"/>
        </w:rPr>
      </w:pPr>
    </w:p>
    <w:p w:rsidR="005D613B" w:rsidRDefault="005D613B" w:rsidP="00ED12BC">
      <w:pPr>
        <w:spacing w:line="560" w:lineRule="exact"/>
        <w:rPr>
          <w:rFonts w:asciiTheme="minorEastAsia" w:eastAsiaTheme="minorEastAsia" w:hAnsiTheme="minorEastAsia" w:cstheme="minorEastAsia"/>
          <w:sz w:val="32"/>
          <w:szCs w:val="32"/>
        </w:rPr>
      </w:pPr>
    </w:p>
    <w:p w:rsidR="005D613B" w:rsidRDefault="005D613B" w:rsidP="00ED12BC">
      <w:pPr>
        <w:adjustRightInd w:val="0"/>
        <w:snapToGrid w:val="0"/>
        <w:spacing w:line="560" w:lineRule="exact"/>
        <w:ind w:firstLineChars="200" w:firstLine="640"/>
        <w:rPr>
          <w:rFonts w:ascii="仿宋" w:eastAsia="仿宋" w:hAnsi="仿宋" w:cs="仿宋"/>
          <w:sz w:val="32"/>
          <w:szCs w:val="32"/>
        </w:rPr>
      </w:pPr>
    </w:p>
    <w:sectPr w:rsidR="005D613B" w:rsidSect="00ED12BC">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64F" w:rsidRDefault="0038364F" w:rsidP="005D613B">
      <w:r>
        <w:separator/>
      </w:r>
    </w:p>
  </w:endnote>
  <w:endnote w:type="continuationSeparator" w:id="0">
    <w:p w:rsidR="0038364F" w:rsidRDefault="0038364F" w:rsidP="005D61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13B" w:rsidRDefault="005D613B">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next-textbox:#_x0000_s1027;mso-fit-shape-to-text:t" inset="0,0,0,0">
            <w:txbxContent>
              <w:p w:rsidR="005D613B" w:rsidRDefault="0038364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5D613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D613B">
                  <w:rPr>
                    <w:rFonts w:ascii="宋体" w:hAnsi="宋体" w:cs="宋体" w:hint="eastAsia"/>
                    <w:sz w:val="28"/>
                    <w:szCs w:val="28"/>
                  </w:rPr>
                  <w:fldChar w:fldCharType="separate"/>
                </w:r>
                <w:r w:rsidR="00ED12BC">
                  <w:rPr>
                    <w:rFonts w:ascii="宋体" w:hAnsi="宋体" w:cs="宋体"/>
                    <w:noProof/>
                    <w:sz w:val="28"/>
                    <w:szCs w:val="28"/>
                  </w:rPr>
                  <w:t>2</w:t>
                </w:r>
                <w:r w:rsidR="005D613B">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13B" w:rsidRDefault="005D613B">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next-textbox:#_x0000_s1026;mso-fit-shape-to-text:t" inset="0,0,0,0">
            <w:txbxContent>
              <w:p w:rsidR="005D613B" w:rsidRDefault="0038364F">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5D613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D613B">
                  <w:rPr>
                    <w:rFonts w:ascii="宋体" w:hAnsi="宋体" w:cs="宋体" w:hint="eastAsia"/>
                    <w:sz w:val="28"/>
                    <w:szCs w:val="28"/>
                  </w:rPr>
                  <w:fldChar w:fldCharType="separate"/>
                </w:r>
                <w:r w:rsidR="00ED12BC">
                  <w:rPr>
                    <w:rFonts w:ascii="宋体" w:hAnsi="宋体" w:cs="宋体"/>
                    <w:noProof/>
                    <w:sz w:val="28"/>
                    <w:szCs w:val="28"/>
                  </w:rPr>
                  <w:t>10</w:t>
                </w:r>
                <w:r w:rsidR="005D613B">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64F" w:rsidRDefault="0038364F" w:rsidP="005D613B">
      <w:r>
        <w:separator/>
      </w:r>
    </w:p>
  </w:footnote>
  <w:footnote w:type="continuationSeparator" w:id="0">
    <w:p w:rsidR="0038364F" w:rsidRDefault="0038364F" w:rsidP="005D61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A24222F"/>
    <w:rsid w:val="0038364F"/>
    <w:rsid w:val="005D613B"/>
    <w:rsid w:val="00ED12BC"/>
    <w:rsid w:val="05097AD0"/>
    <w:rsid w:val="10B63C0C"/>
    <w:rsid w:val="166E52DE"/>
    <w:rsid w:val="1A24222F"/>
    <w:rsid w:val="280A3758"/>
    <w:rsid w:val="29A82263"/>
    <w:rsid w:val="31DD71E5"/>
    <w:rsid w:val="3F053E8C"/>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D613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5D613B"/>
    <w:pPr>
      <w:tabs>
        <w:tab w:val="center" w:pos="4153"/>
        <w:tab w:val="right" w:pos="8306"/>
      </w:tabs>
      <w:snapToGrid w:val="0"/>
      <w:jc w:val="left"/>
    </w:pPr>
    <w:rPr>
      <w:sz w:val="18"/>
    </w:rPr>
  </w:style>
  <w:style w:type="paragraph" w:styleId="a4">
    <w:name w:val="header"/>
    <w:basedOn w:val="a"/>
    <w:qFormat/>
    <w:rsid w:val="005D613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10</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2017-03-14T03:02:00Z</dcterms:created>
  <dcterms:modified xsi:type="dcterms:W3CDTF">2019-08-22T10:03:00Z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