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D9" w:rsidRDefault="00AB7BD9" w:rsidP="00AB7BD9">
      <w:pPr>
        <w:ind w:firstLine="640"/>
        <w:rPr>
          <w:rFonts w:hint="eastAsia"/>
        </w:rPr>
      </w:pPr>
    </w:p>
    <w:p w:rsidR="00AB7BD9" w:rsidRDefault="00AB7BD9" w:rsidP="00AB7BD9">
      <w:pPr>
        <w:ind w:firstLine="640"/>
        <w:rPr>
          <w:rFonts w:hint="eastAsia"/>
        </w:rPr>
      </w:pPr>
    </w:p>
    <w:p w:rsidR="00AB7BD9" w:rsidRDefault="00AB7BD9" w:rsidP="00AB7BD9">
      <w:pPr>
        <w:ind w:firstLineChars="0" w:firstLine="0"/>
        <w:jc w:val="center"/>
        <w:rPr>
          <w:rFonts w:ascii="宋体" w:eastAsia="宋体" w:hAnsi="宋体" w:hint="eastAsia"/>
          <w:sz w:val="44"/>
          <w:szCs w:val="44"/>
        </w:rPr>
      </w:pPr>
      <w:r w:rsidRPr="00AB7BD9">
        <w:rPr>
          <w:rFonts w:ascii="宋体" w:eastAsia="宋体" w:hAnsi="宋体" w:hint="eastAsia"/>
          <w:sz w:val="44"/>
          <w:szCs w:val="44"/>
        </w:rPr>
        <w:t>徐州市云龙湖水环境保护条例</w:t>
      </w:r>
    </w:p>
    <w:p w:rsidR="00AB7BD9" w:rsidRPr="00AB7BD9" w:rsidRDefault="00AB7BD9" w:rsidP="00AB7BD9">
      <w:pPr>
        <w:ind w:firstLineChars="0" w:firstLine="0"/>
        <w:jc w:val="center"/>
        <w:rPr>
          <w:rFonts w:ascii="宋体" w:eastAsia="宋体" w:hAnsi="宋体" w:hint="eastAsia"/>
          <w:sz w:val="44"/>
          <w:szCs w:val="44"/>
        </w:rPr>
      </w:pPr>
    </w:p>
    <w:p w:rsidR="00AB7BD9" w:rsidRPr="00AB7BD9" w:rsidRDefault="00AB7BD9" w:rsidP="00AB7BD9">
      <w:pPr>
        <w:ind w:leftChars="200" w:left="640" w:rightChars="200" w:right="640" w:firstLineChars="0" w:firstLine="0"/>
        <w:rPr>
          <w:rFonts w:ascii="Times New Roman" w:eastAsia="楷体_GB2312" w:hAnsi="Times New Roman" w:hint="eastAsia"/>
        </w:rPr>
      </w:pPr>
      <w:r w:rsidRPr="00AB7BD9">
        <w:rPr>
          <w:rFonts w:ascii="Times New Roman" w:eastAsia="楷体_GB2312" w:hAnsi="Times New Roman" w:hint="eastAsia"/>
        </w:rPr>
        <w:t>（</w:t>
      </w:r>
      <w:smartTag w:uri="urn:schemas-microsoft-com:office:smarttags" w:element="chsdate">
        <w:smartTagPr>
          <w:attr w:name="Year" w:val="1998"/>
          <w:attr w:name="Month" w:val="7"/>
          <w:attr w:name="Day" w:val="28"/>
          <w:attr w:name="IsLunarDate" w:val="False"/>
          <w:attr w:name="IsROCDate" w:val="False"/>
        </w:smartTagPr>
        <w:r w:rsidRPr="00AB7BD9">
          <w:rPr>
            <w:rFonts w:ascii="Times New Roman" w:eastAsia="楷体_GB2312" w:hAnsi="Times New Roman" w:hint="eastAsia"/>
          </w:rPr>
          <w:t>1998</w:t>
        </w:r>
        <w:r w:rsidRPr="00AB7BD9">
          <w:rPr>
            <w:rFonts w:ascii="Times New Roman" w:eastAsia="楷体_GB2312" w:hAnsi="Times New Roman" w:hint="eastAsia"/>
          </w:rPr>
          <w:t>年</w:t>
        </w:r>
        <w:r w:rsidRPr="00AB7BD9">
          <w:rPr>
            <w:rFonts w:ascii="Times New Roman" w:eastAsia="楷体_GB2312" w:hAnsi="Times New Roman" w:hint="eastAsia"/>
          </w:rPr>
          <w:t>7</w:t>
        </w:r>
        <w:r w:rsidRPr="00AB7BD9">
          <w:rPr>
            <w:rFonts w:ascii="Times New Roman" w:eastAsia="楷体_GB2312" w:hAnsi="Times New Roman" w:hint="eastAsia"/>
          </w:rPr>
          <w:t>月</w:t>
        </w:r>
        <w:r w:rsidRPr="00AB7BD9">
          <w:rPr>
            <w:rFonts w:ascii="Times New Roman" w:eastAsia="楷体_GB2312" w:hAnsi="Times New Roman" w:hint="eastAsia"/>
          </w:rPr>
          <w:t>28</w:t>
        </w:r>
        <w:r w:rsidRPr="00AB7BD9">
          <w:rPr>
            <w:rFonts w:ascii="Times New Roman" w:eastAsia="楷体_GB2312" w:hAnsi="Times New Roman" w:hint="eastAsia"/>
          </w:rPr>
          <w:t>日</w:t>
        </w:r>
      </w:smartTag>
      <w:r w:rsidRPr="00AB7BD9">
        <w:rPr>
          <w:rFonts w:ascii="Times New Roman" w:eastAsia="楷体_GB2312" w:hAnsi="Times New Roman" w:hint="eastAsia"/>
        </w:rPr>
        <w:t>徐州市第十二届人民代表大会常务委员会第三次会议制定</w:t>
      </w:r>
      <w:r w:rsidRPr="00AB7BD9">
        <w:rPr>
          <w:rFonts w:ascii="Times New Roman" w:eastAsia="楷体_GB2312" w:hAnsi="Times New Roman" w:hint="eastAsia"/>
        </w:rPr>
        <w:t xml:space="preserve">  </w:t>
      </w:r>
      <w:smartTag w:uri="urn:schemas-microsoft-com:office:smarttags" w:element="chsdate">
        <w:smartTagPr>
          <w:attr w:name="Year" w:val="1998"/>
          <w:attr w:name="Month" w:val="8"/>
          <w:attr w:name="Day" w:val="28"/>
          <w:attr w:name="IsLunarDate" w:val="False"/>
          <w:attr w:name="IsROCDate" w:val="False"/>
        </w:smartTagPr>
        <w:r w:rsidRPr="00AB7BD9">
          <w:rPr>
            <w:rFonts w:ascii="Times New Roman" w:eastAsia="楷体_GB2312" w:hAnsi="Times New Roman" w:hint="eastAsia"/>
          </w:rPr>
          <w:t>1998</w:t>
        </w:r>
        <w:r w:rsidRPr="00AB7BD9">
          <w:rPr>
            <w:rFonts w:ascii="Times New Roman" w:eastAsia="楷体_GB2312" w:hAnsi="Times New Roman" w:hint="eastAsia"/>
          </w:rPr>
          <w:t>年</w:t>
        </w:r>
        <w:r w:rsidRPr="00AB7BD9">
          <w:rPr>
            <w:rFonts w:ascii="Times New Roman" w:eastAsia="楷体_GB2312" w:hAnsi="Times New Roman" w:hint="eastAsia"/>
          </w:rPr>
          <w:t>8</w:t>
        </w:r>
        <w:r w:rsidRPr="00AB7BD9">
          <w:rPr>
            <w:rFonts w:ascii="Times New Roman" w:eastAsia="楷体_GB2312" w:hAnsi="Times New Roman" w:hint="eastAsia"/>
          </w:rPr>
          <w:t>月</w:t>
        </w:r>
        <w:r w:rsidRPr="00AB7BD9">
          <w:rPr>
            <w:rFonts w:ascii="Times New Roman" w:eastAsia="楷体_GB2312" w:hAnsi="Times New Roman" w:hint="eastAsia"/>
          </w:rPr>
          <w:t>28</w:t>
        </w:r>
        <w:r w:rsidRPr="00AB7BD9">
          <w:rPr>
            <w:rFonts w:ascii="Times New Roman" w:eastAsia="楷体_GB2312" w:hAnsi="Times New Roman" w:hint="eastAsia"/>
          </w:rPr>
          <w:t>日</w:t>
        </w:r>
      </w:smartTag>
      <w:r w:rsidRPr="00AB7BD9">
        <w:rPr>
          <w:rFonts w:ascii="Times New Roman" w:eastAsia="楷体_GB2312" w:hAnsi="Times New Roman" w:hint="eastAsia"/>
        </w:rPr>
        <w:t>江苏省第九届人民代表大会常务委员会第四次会议批准）</w:t>
      </w:r>
    </w:p>
    <w:p w:rsidR="00AB7BD9" w:rsidRDefault="00AB7BD9" w:rsidP="00AB7BD9">
      <w:pPr>
        <w:ind w:firstLine="640"/>
      </w:pP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第一条</w:t>
      </w:r>
      <w:r>
        <w:rPr>
          <w:rFonts w:hint="eastAsia"/>
        </w:rPr>
        <w:t xml:space="preserve">　为保护云龙湖水环境，防治水体污染，根据《中华人民共和国水污染防治法》、《淮河流域水污染防治暂行条例》和《江苏省环境保护条例》等法律、法规的规定，结合本市实际，制定本条例。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第二条</w:t>
      </w:r>
      <w:r>
        <w:rPr>
          <w:rFonts w:hint="eastAsia"/>
        </w:rPr>
        <w:t xml:space="preserve">　本条例适用于云龙湖水环境保护区范围。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本条例所称云龙湖水环境保护区范围，是指云龙湖水体及其汇水区域。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云龙湖水环境保护区南至黑山、驴眼山、走马山、大窝山、楼山、团头山、奶山、洞山、虎头山一线；东至泉山、泰山、云龙山一线；北至云龙湖北大堤、卧牛山、徐萧公路一线；西至闸河东、原徐萧公路、花山头、家后山、王大山、孤山、峨山、三华山、光山一线（附图）。总面积六十三点三平方公里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第三条</w:t>
      </w:r>
      <w:r>
        <w:rPr>
          <w:rFonts w:hint="eastAsia"/>
        </w:rPr>
        <w:t xml:space="preserve">　市人民政府制定云龙湖水环境保护规划，建设和完善环湖排水管网设施，防治水污染，保护水环境。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lastRenderedPageBreak/>
        <w:t>第四条</w:t>
      </w:r>
      <w:r>
        <w:rPr>
          <w:rFonts w:hint="eastAsia"/>
        </w:rPr>
        <w:t xml:space="preserve">　市环境保护行政主管部门对云龙湖水环境保护实施统一监督管理。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市规划、工商、水利、交通、市政公用、水产等行政管理部门和市云龙湖风景区管理机构依据各自的职责，配合环境保护行政主管部门做好云龙湖水环境保护工作。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第五条</w:t>
      </w:r>
      <w:r>
        <w:rPr>
          <w:rFonts w:hint="eastAsia"/>
        </w:rPr>
        <w:t xml:space="preserve">　云龙湖水质执行国家三类地表水标准。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市环境保护行政主管部门应当定期公布云龙湖水质状况。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第六条</w:t>
      </w:r>
      <w:r>
        <w:rPr>
          <w:rFonts w:hint="eastAsia"/>
        </w:rPr>
        <w:t xml:space="preserve">　在云龙湖水环境保护区范围内，禁止下列行为：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（一）新建、改建、扩建污染水环境的工业企业；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（二）设置有毒、有害化学品仓库；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（三）新建向云龙湖水体排放污水的排污口；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（四）向云龙湖水体排放工业废水、油类或者剧毒废液；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（五）直接向云龙湖水体排放生活污水或者抛撒废弃物；</w:t>
      </w:r>
    </w:p>
    <w:p w:rsidR="00AB7BD9" w:rsidRPr="00900937" w:rsidRDefault="00AB7BD9" w:rsidP="00900937">
      <w:pPr>
        <w:ind w:firstLine="656"/>
        <w:rPr>
          <w:rFonts w:hint="eastAsia"/>
          <w:spacing w:val="4"/>
          <w:szCs w:val="32"/>
        </w:rPr>
      </w:pPr>
      <w:r w:rsidRPr="00900937">
        <w:rPr>
          <w:rFonts w:hint="eastAsia"/>
          <w:spacing w:val="4"/>
          <w:szCs w:val="32"/>
        </w:rPr>
        <w:t>（六）在云龙湖湖岸或者水体内洗刷车辆、衣物或者其他器具；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（七）向云龙湖水体倾倒固体污染物；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（八）在环湖道路以内堆放、弃置建筑垃圾、生活垃圾或者其他污染物；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（九）在云龙湖水体内放养畜禽；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（十）其他污染云龙湖水环境的行为。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第七条</w:t>
      </w:r>
      <w:r>
        <w:rPr>
          <w:rFonts w:hint="eastAsia"/>
        </w:rPr>
        <w:t xml:space="preserve">　云龙湖内及环湖道路两侧的饮食服务、旅游、疗养等单位产生的生活污水，应当排入市政排水管网设施。未有市政</w:t>
      </w:r>
      <w:r>
        <w:rPr>
          <w:rFonts w:hint="eastAsia"/>
        </w:rPr>
        <w:lastRenderedPageBreak/>
        <w:t>排水管网设施的，应当按照市环境保护行政主管部门的要求，设置集水设施，并定期清运至污水处理厂集中处理。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第八条</w:t>
      </w:r>
      <w:r>
        <w:rPr>
          <w:rFonts w:hint="eastAsia"/>
        </w:rPr>
        <w:t xml:space="preserve">　在云龙湖水环境保护区范围内新建、改建、扩建对水环境有影响的饮食服务、旅游等建设项目，应当进行环境影响评价，并报市环境保护行政主管部门批准。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未进行环境影响评价，或者环境影响评价未经市环境保护行政主管部门批准的建设项目，计划、规划、国土、工商等行政管理部门不得办理有关手续。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第九条</w:t>
      </w:r>
      <w:r>
        <w:rPr>
          <w:rFonts w:hint="eastAsia"/>
        </w:rPr>
        <w:t xml:space="preserve">　保持云龙湖正常蓄水量。汛期排水、枯水季节补水应当经市人民政府批准。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枯水季节向云龙湖补水的水质由市环境保护行政主管部门负责监测、评价。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第十条</w:t>
      </w:r>
      <w:r>
        <w:rPr>
          <w:rFonts w:hint="eastAsia"/>
        </w:rPr>
        <w:t xml:space="preserve">　有下列行为之一的，市环境保护行政主管部门应当责令停止违法行为、限期改正或者报请市人民政府决定限期治理，并依照以下规定处罚：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（一）违反本条例第六条第一项规定的，可以处五千元以上二万元以下罚款；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（二）违反本条例第六条第二项规定的，可以处五千元以上三万元以下罚款；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（三）违反本条例第六条第三项、第八项规定的，可以处二千元以上五万元以下罚款；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（四）违反本条例第六条第四项、第七项规定的，可以处五</w:t>
      </w:r>
      <w:r>
        <w:rPr>
          <w:rFonts w:hint="eastAsia"/>
        </w:rPr>
        <w:lastRenderedPageBreak/>
        <w:t>千元以上十万元以下罚款；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（五）违反本条例第六条第五项规定的，可以处一百元以上一万元以下罚款；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（六）违反本条例第六条第六项规定的，可以处五十元以上二千元以下罚款；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（七）违反本条例第六条第九项规定的，可以处五十元以上五千元以下罚款；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（八）违反本条例第七条规定未设置集水设施的，可以处一千元以上五千元以下罚款；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（九）违反本条例第八条第一款规定的，可以处一千元以上二万元以下罚款。</w:t>
      </w:r>
    </w:p>
    <w:p w:rsidR="00AB7BD9" w:rsidRDefault="00AB7BD9" w:rsidP="00AB7BD9">
      <w:pPr>
        <w:ind w:firstLine="640"/>
        <w:rPr>
          <w:rFonts w:hint="eastAsia"/>
        </w:rPr>
      </w:pPr>
      <w:r>
        <w:rPr>
          <w:rFonts w:hint="eastAsia"/>
        </w:rPr>
        <w:t>依照前款第四项规定罚款，数额超过五万元的，应当报经省环境保护行政主管部门批准。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第十一条</w:t>
      </w:r>
      <w:r>
        <w:rPr>
          <w:rFonts w:hint="eastAsia"/>
        </w:rPr>
        <w:t xml:space="preserve">　市环境保护行政主管部门对云龙湖水环境保护区范围内排放污染物，污染云龙湖水体而又无治理价值或者拒不治理的企业事业单位，应报请市人民政府责令关闭或者停业。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第十二条</w:t>
      </w:r>
      <w:r>
        <w:rPr>
          <w:rFonts w:hint="eastAsia"/>
        </w:rPr>
        <w:t xml:space="preserve">　当事人对行政处罚决定不服的，可以在接到行政处罚决定书之日起十五日内，向作出处罚决定机关的上一级主管机关申请复议；对复议决定不服的，可以在接到复议决定书之日起十五日内，向人民法院提起诉讼；当事人也可以在接到行政处罚决定书之日起十五日内，直接向人民法院提起诉讼。当事人逾期不申请复议，也不提起诉讼，又不履行行政处罚决定的，由作</w:t>
      </w:r>
      <w:r>
        <w:rPr>
          <w:rFonts w:hint="eastAsia"/>
        </w:rPr>
        <w:lastRenderedPageBreak/>
        <w:t>出处罚决定的机关申请人民法院强制执行。</w:t>
      </w:r>
    </w:p>
    <w:p w:rsidR="00AB7BD9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第十三条</w:t>
      </w:r>
      <w:r>
        <w:rPr>
          <w:rFonts w:hint="eastAsia"/>
        </w:rPr>
        <w:t xml:space="preserve">　行政管理部门及其工作人员应当依法履行职责，对滥用职权、玩忽职守、徇私舞弊的，其所在单位或者上级主管部门应当追究行政责任；构成犯罪的，依法追究刑事责任。</w:t>
      </w:r>
    </w:p>
    <w:p w:rsidR="0023486E" w:rsidRPr="00EA5487" w:rsidRDefault="00AB7BD9" w:rsidP="00AB7BD9">
      <w:pPr>
        <w:ind w:firstLine="640"/>
        <w:rPr>
          <w:rFonts w:hint="eastAsia"/>
        </w:rPr>
      </w:pPr>
      <w:r w:rsidRPr="00AB7BD9">
        <w:rPr>
          <w:rFonts w:ascii="黑体" w:eastAsia="黑体" w:hint="eastAsia"/>
        </w:rPr>
        <w:t>第十四条</w:t>
      </w:r>
      <w:r>
        <w:rPr>
          <w:rFonts w:hint="eastAsia"/>
        </w:rPr>
        <w:t xml:space="preserve">　本条例自公布之日起施行。</w:t>
      </w:r>
    </w:p>
    <w:sectPr w:rsidR="0023486E" w:rsidRPr="00EA54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1985" w:right="1531" w:bottom="1814" w:left="1531" w:header="567" w:footer="1701" w:gutter="0"/>
      <w:pgNumType w:start="1"/>
      <w:cols w:space="720"/>
      <w:docGrid w:linePitch="572" w:charSpace="-52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CD9" w:rsidRDefault="009D5CD9">
      <w:pPr>
        <w:ind w:firstLine="640"/>
      </w:pPr>
      <w:r>
        <w:separator/>
      </w:r>
    </w:p>
  </w:endnote>
  <w:endnote w:type="continuationSeparator" w:id="1">
    <w:p w:rsidR="009D5CD9" w:rsidRDefault="009D5CD9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方正黑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Pr="009B5E51" w:rsidRDefault="00900937" w:rsidP="00A24361">
    <w:pPr>
      <w:pStyle w:val="a7"/>
      <w:framePr w:w="1829" w:wrap="around" w:y="-2"/>
      <w:ind w:firstLineChars="125" w:firstLine="350"/>
      <w:rPr>
        <w:sz w:val="28"/>
        <w:szCs w:val="28"/>
      </w:rPr>
    </w:pPr>
    <w:r w:rsidRPr="009B5E51">
      <w:rPr>
        <w:rFonts w:hint="eastAsia"/>
        <w:sz w:val="28"/>
        <w:szCs w:val="28"/>
      </w:rPr>
      <w:t>─</w:t>
    </w:r>
    <w:r w:rsidRPr="009B5E51">
      <w:rPr>
        <w:sz w:val="28"/>
        <w:szCs w:val="28"/>
      </w:rPr>
      <w:t xml:space="preserve"> </w:t>
    </w:r>
    <w:r w:rsidRPr="009B5E51">
      <w:rPr>
        <w:sz w:val="28"/>
        <w:szCs w:val="28"/>
      </w:rPr>
      <w:fldChar w:fldCharType="begin"/>
    </w:r>
    <w:r w:rsidRPr="009B5E51">
      <w:rPr>
        <w:sz w:val="28"/>
        <w:szCs w:val="28"/>
      </w:rPr>
      <w:instrText xml:space="preserve">PAGE  </w:instrText>
    </w:r>
    <w:r w:rsidRPr="009B5E51">
      <w:rPr>
        <w:sz w:val="28"/>
        <w:szCs w:val="28"/>
      </w:rPr>
      <w:fldChar w:fldCharType="separate"/>
    </w:r>
    <w:r w:rsidR="00CB6349">
      <w:rPr>
        <w:noProof/>
        <w:sz w:val="28"/>
        <w:szCs w:val="28"/>
      </w:rPr>
      <w:t>4</w:t>
    </w:r>
    <w:r w:rsidRPr="009B5E51">
      <w:rPr>
        <w:sz w:val="28"/>
        <w:szCs w:val="28"/>
      </w:rPr>
      <w:fldChar w:fldCharType="end"/>
    </w:r>
    <w:r w:rsidRPr="009B5E51">
      <w:rPr>
        <w:sz w:val="28"/>
        <w:szCs w:val="28"/>
      </w:rPr>
      <w:t xml:space="preserve"> </w:t>
    </w:r>
    <w:r w:rsidRPr="009B5E51">
      <w:rPr>
        <w:rFonts w:hint="eastAsia"/>
        <w:sz w:val="28"/>
        <w:szCs w:val="28"/>
      </w:rPr>
      <w:t>─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Pr="009B5E51" w:rsidRDefault="00900937" w:rsidP="00EA5487">
    <w:pPr>
      <w:pStyle w:val="a7"/>
      <w:framePr w:w="1467" w:wrap="around" w:hAnchor="page" w:x="8852" w:y="37"/>
      <w:ind w:firstLineChars="25" w:firstLine="70"/>
      <w:rPr>
        <w:rFonts w:ascii="Times New Roman" w:hAnsi="Times New Roman" w:hint="eastAsia"/>
        <w:sz w:val="28"/>
        <w:szCs w:val="28"/>
      </w:rPr>
    </w:pPr>
    <w:r w:rsidRPr="009B5E51">
      <w:rPr>
        <w:rFonts w:ascii="Times New Roman" w:hAnsi="Times New Roman" w:hint="eastAsia"/>
        <w:sz w:val="28"/>
        <w:szCs w:val="28"/>
      </w:rPr>
      <w:t>─</w:t>
    </w:r>
    <w:r w:rsidRPr="009B5E51">
      <w:rPr>
        <w:rFonts w:ascii="Times New Roman" w:hAnsi="Times New Roman"/>
        <w:sz w:val="28"/>
        <w:szCs w:val="28"/>
      </w:rPr>
      <w:t xml:space="preserve"> </w:t>
    </w:r>
    <w:r w:rsidRPr="009B5E51">
      <w:rPr>
        <w:rFonts w:ascii="Times New Roman" w:hAnsi="Times New Roman"/>
        <w:sz w:val="28"/>
        <w:szCs w:val="28"/>
      </w:rPr>
      <w:fldChar w:fldCharType="begin"/>
    </w:r>
    <w:r w:rsidRPr="009B5E51">
      <w:rPr>
        <w:rFonts w:ascii="Times New Roman" w:hAnsi="Times New Roman"/>
        <w:sz w:val="28"/>
        <w:szCs w:val="28"/>
      </w:rPr>
      <w:instrText xml:space="preserve">PAGE  </w:instrText>
    </w:r>
    <w:r w:rsidRPr="009B5E51">
      <w:rPr>
        <w:rFonts w:ascii="Times New Roman" w:hAnsi="Times New Roman"/>
        <w:sz w:val="28"/>
        <w:szCs w:val="28"/>
      </w:rPr>
      <w:fldChar w:fldCharType="separate"/>
    </w:r>
    <w:r w:rsidR="00CB6349">
      <w:rPr>
        <w:rFonts w:ascii="Times New Roman" w:hAnsi="Times New Roman"/>
        <w:noProof/>
        <w:sz w:val="28"/>
        <w:szCs w:val="28"/>
      </w:rPr>
      <w:t>1</w:t>
    </w:r>
    <w:r w:rsidRPr="009B5E51">
      <w:rPr>
        <w:rFonts w:ascii="Times New Roman" w:hAnsi="Times New Roman"/>
        <w:sz w:val="28"/>
        <w:szCs w:val="28"/>
      </w:rPr>
      <w:fldChar w:fldCharType="end"/>
    </w:r>
    <w:r w:rsidRPr="009B5E51">
      <w:rPr>
        <w:rFonts w:ascii="Times New Roman" w:hAnsi="Times New Roman"/>
        <w:sz w:val="28"/>
        <w:szCs w:val="28"/>
      </w:rPr>
      <w:t xml:space="preserve"> </w:t>
    </w:r>
    <w:r w:rsidRPr="009B5E51">
      <w:rPr>
        <w:rFonts w:ascii="Times New Roman" w:hAnsi="Times New Roman" w:hint="eastAsia"/>
        <w:sz w:val="28"/>
        <w:szCs w:val="28"/>
      </w:rPr>
      <w:t>─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Default="00900937">
    <w:pPr>
      <w:pStyle w:val="a7"/>
      <w:framePr w:wrap="aroun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CD9" w:rsidRDefault="009D5CD9">
      <w:pPr>
        <w:ind w:firstLine="640"/>
      </w:pPr>
      <w:r>
        <w:separator/>
      </w:r>
    </w:p>
  </w:footnote>
  <w:footnote w:type="continuationSeparator" w:id="1">
    <w:p w:rsidR="009D5CD9" w:rsidRDefault="009D5CD9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Default="00900937">
    <w:pPr>
      <w:pStyle w:val="a6"/>
      <w:pBdr>
        <w:bottom w:val="none" w:sz="0" w:space="0" w:color="auto"/>
      </w:pBdr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Default="00900937">
    <w:pPr>
      <w:pStyle w:val="a6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937" w:rsidRDefault="00900937">
    <w:pPr>
      <w:pStyle w:val="a6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attachedTemplate r:id="rId1"/>
  <w:stylePaneFormatFilter w:val="3F01"/>
  <w:doNotTrackMoves/>
  <w:defaultTabStop w:val="425"/>
  <w:evenAndOddHeaders/>
  <w:drawingGridHorizontalSpacing w:val="305"/>
  <w:drawingGridVerticalSpacing w:val="28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35C"/>
    <w:rsid w:val="00006990"/>
    <w:rsid w:val="00150153"/>
    <w:rsid w:val="001A6DC1"/>
    <w:rsid w:val="0023486E"/>
    <w:rsid w:val="002C186C"/>
    <w:rsid w:val="00324F0E"/>
    <w:rsid w:val="00345F9B"/>
    <w:rsid w:val="0039762E"/>
    <w:rsid w:val="003F7A14"/>
    <w:rsid w:val="004260FE"/>
    <w:rsid w:val="00432BC3"/>
    <w:rsid w:val="004603CD"/>
    <w:rsid w:val="004637FE"/>
    <w:rsid w:val="005D77A2"/>
    <w:rsid w:val="00643B3F"/>
    <w:rsid w:val="00654733"/>
    <w:rsid w:val="00713A16"/>
    <w:rsid w:val="00765EB0"/>
    <w:rsid w:val="00781858"/>
    <w:rsid w:val="007A07F3"/>
    <w:rsid w:val="007A657A"/>
    <w:rsid w:val="007E36B7"/>
    <w:rsid w:val="00827E86"/>
    <w:rsid w:val="008F2569"/>
    <w:rsid w:val="00900937"/>
    <w:rsid w:val="00930BF6"/>
    <w:rsid w:val="009B5E51"/>
    <w:rsid w:val="009C7740"/>
    <w:rsid w:val="009D5CD9"/>
    <w:rsid w:val="00A13C79"/>
    <w:rsid w:val="00A24361"/>
    <w:rsid w:val="00AB7BD9"/>
    <w:rsid w:val="00AF435C"/>
    <w:rsid w:val="00B62C89"/>
    <w:rsid w:val="00B76B8C"/>
    <w:rsid w:val="00C042BD"/>
    <w:rsid w:val="00C80D16"/>
    <w:rsid w:val="00CB6349"/>
    <w:rsid w:val="00CF416A"/>
    <w:rsid w:val="00D342EF"/>
    <w:rsid w:val="00D51D96"/>
    <w:rsid w:val="00DA7AF8"/>
    <w:rsid w:val="00DF18FB"/>
    <w:rsid w:val="00E06BE1"/>
    <w:rsid w:val="00E60504"/>
    <w:rsid w:val="00EA5487"/>
    <w:rsid w:val="00EF36F8"/>
    <w:rsid w:val="00FF1B23"/>
    <w:rsid w:val="50A311B5"/>
    <w:rsid w:val="5985545B"/>
    <w:rsid w:val="66E97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overflowPunct w:val="0"/>
      <w:snapToGrid w:val="0"/>
      <w:spacing w:line="590" w:lineRule="exact"/>
      <w:ind w:firstLineChars="200" w:firstLine="200"/>
      <w:jc w:val="both"/>
    </w:pPr>
    <w:rPr>
      <w:rFonts w:ascii="Times" w:eastAsia="仿宋_GB2312" w:hAnsi="Times"/>
      <w:kern w:val="2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tLeast"/>
      <w:outlineLvl w:val="2"/>
    </w:pPr>
    <w:rPr>
      <w:b/>
      <w:bCs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paragraph" w:styleId="a4">
    <w:name w:val="Body Text Indent"/>
    <w:basedOn w:val="a"/>
    <w:pPr>
      <w:autoSpaceDE w:val="0"/>
      <w:spacing w:line="500" w:lineRule="exact"/>
      <w:ind w:firstLine="630"/>
    </w:pPr>
    <w:rPr>
      <w:rFonts w:ascii="仿宋_GB2312"/>
      <w:spacing w:val="-6"/>
    </w:rPr>
  </w:style>
  <w:style w:type="paragraph" w:styleId="20">
    <w:name w:val="Body Text Indent 2"/>
    <w:basedOn w:val="a"/>
    <w:pPr>
      <w:overflowPunct/>
      <w:autoSpaceDE w:val="0"/>
      <w:autoSpaceDN w:val="0"/>
      <w:spacing w:line="567" w:lineRule="atLeast"/>
      <w:ind w:left="1120" w:hangingChars="400" w:hanging="1120"/>
    </w:pPr>
    <w:rPr>
      <w:sz w:val="28"/>
    </w:rPr>
  </w:style>
  <w:style w:type="paragraph" w:styleId="a5">
    <w:name w:val="Date"/>
    <w:basedOn w:val="a"/>
    <w:next w:val="a"/>
    <w:pPr>
      <w:overflowPunct/>
      <w:snapToGrid/>
      <w:spacing w:line="240" w:lineRule="auto"/>
      <w:ind w:leftChars="2500" w:left="100" w:firstLine="0"/>
    </w:pPr>
    <w:rPr>
      <w:rFonts w:ascii="Times New Roman" w:eastAsia="宋体"/>
      <w:b/>
      <w:bCs/>
      <w:sz w:val="28"/>
      <w:szCs w:val="24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pPr>
      <w:framePr w:wrap="around" w:vAnchor="text" w:hAnchor="margin" w:xAlign="outside" w:y="1"/>
      <w:tabs>
        <w:tab w:val="center" w:pos="4153"/>
        <w:tab w:val="right" w:pos="8306"/>
      </w:tabs>
      <w:wordWrap w:val="0"/>
      <w:spacing w:line="400" w:lineRule="atLeast"/>
      <w:ind w:firstLineChars="0" w:firstLine="0"/>
      <w:jc w:val="left"/>
    </w:pPr>
    <w:rPr>
      <w:sz w:val="30"/>
    </w:rPr>
  </w:style>
  <w:style w:type="paragraph" w:styleId="30">
    <w:name w:val="Body Text Indent 3"/>
    <w:basedOn w:val="a"/>
    <w:pPr>
      <w:overflowPunct/>
      <w:snapToGrid/>
      <w:spacing w:line="440" w:lineRule="exact"/>
      <w:ind w:left="540" w:firstLineChars="192" w:firstLine="538"/>
    </w:pPr>
    <w:rPr>
      <w:rFonts w:ascii="Times New Roman" w:eastAsia="宋体"/>
      <w:sz w:val="28"/>
      <w:szCs w:val="24"/>
    </w:rPr>
  </w:style>
  <w:style w:type="paragraph" w:customStyle="1" w:styleId="4">
    <w:name w:val="标题4"/>
    <w:basedOn w:val="31"/>
    <w:next w:val="a"/>
    <w:pPr>
      <w:jc w:val="center"/>
    </w:pPr>
  </w:style>
  <w:style w:type="paragraph" w:customStyle="1" w:styleId="31">
    <w:name w:val="标题3"/>
    <w:basedOn w:val="a"/>
    <w:next w:val="a"/>
    <w:pPr>
      <w:adjustRightInd w:val="0"/>
    </w:pPr>
    <w:rPr>
      <w:rFonts w:ascii="方正黑体简体" w:eastAsia="方正黑体简体"/>
    </w:rPr>
  </w:style>
  <w:style w:type="paragraph" w:customStyle="1" w:styleId="5">
    <w:name w:val="标题5"/>
    <w:basedOn w:val="a"/>
    <w:next w:val="a"/>
    <w:rPr>
      <w:rFonts w:ascii="方正楷体简体" w:eastAsia="方正楷体简体"/>
    </w:rPr>
  </w:style>
  <w:style w:type="paragraph" w:customStyle="1" w:styleId="10">
    <w:name w:val="标题1"/>
    <w:basedOn w:val="a"/>
    <w:next w:val="a"/>
    <w:pPr>
      <w:tabs>
        <w:tab w:val="left" w:pos="9193"/>
        <w:tab w:val="left" w:pos="9827"/>
      </w:tabs>
      <w:autoSpaceDE w:val="0"/>
      <w:autoSpaceDN w:val="0"/>
      <w:spacing w:line="760" w:lineRule="atLeast"/>
      <w:ind w:firstLineChars="0" w:firstLine="0"/>
      <w:jc w:val="center"/>
    </w:pPr>
    <w:rPr>
      <w:rFonts w:ascii="方正小标宋_GBK" w:eastAsia="方正小标宋简体"/>
      <w:sz w:val="44"/>
    </w:rPr>
  </w:style>
  <w:style w:type="paragraph" w:customStyle="1" w:styleId="21">
    <w:name w:val="标题2"/>
    <w:basedOn w:val="a"/>
    <w:next w:val="a"/>
    <w:pPr>
      <w:ind w:firstLineChars="0" w:firstLine="0"/>
      <w:jc w:val="center"/>
    </w:pPr>
    <w:rPr>
      <w:rFonts w:ascii="方正楷体_GBK" w:eastAsia="楷体_GB2312" w:hAnsi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Application%20Data\Microsoft\Templates\&#22791;&#26696;&#25253;&#21578;&#27169;&#29256;&#65288;&#26368;&#26032;111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备案报告模版（最新111）.dot</Template>
  <TotalTime>0</TotalTime>
  <Pages>5</Pages>
  <Words>290</Words>
  <Characters>1657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Manager/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公文通报模板</dc:title>
  <dc:subject/>
  <dc:creator>admin</dc:creator>
  <cp:keywords/>
  <dc:description/>
  <cp:lastModifiedBy>walkinnet</cp:lastModifiedBy>
  <cp:revision>2</cp:revision>
  <cp:lastPrinted>2016-12-02T02:09:00Z</cp:lastPrinted>
  <dcterms:created xsi:type="dcterms:W3CDTF">2011-01-06T02:00:00Z</dcterms:created>
  <dcterms:modified xsi:type="dcterms:W3CDTF">2011-01-06T02:00:00Z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