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v:background id="矩形 0">
      <v:fill on="f" color2="#FFFFFF" focus="0%"/>
    </v:background>
  </w:background>
  <w:body>
    <w:p>
      <w:pPr>
        <w:ind w:firstLine="640"/>
        <w:rPr>
          <w:rFonts w:hint="eastAsia"/>
        </w:rPr>
      </w:pPr>
      <w:bookmarkStart w:id="0" w:name="_GoBack"/>
      <w:bookmarkEnd w:id="0"/>
    </w:p>
    <w:p>
      <w:pPr>
        <w:ind w:firstLine="640"/>
        <w:rPr>
          <w:rFonts w:hint="eastAsia"/>
        </w:rPr>
      </w:pPr>
    </w:p>
    <w:p>
      <w:pPr>
        <w:pStyle w:val="15"/>
        <w:spacing w:line="590" w:lineRule="exact"/>
        <w:rPr>
          <w:rFonts w:hint="eastAsia" w:ascii="宋体" w:hAnsi="宋体" w:eastAsia="宋体"/>
        </w:rPr>
      </w:pPr>
      <w:r>
        <w:rPr>
          <w:rFonts w:hint="eastAsia" w:ascii="宋体" w:hAnsi="宋体" w:eastAsia="宋体"/>
        </w:rPr>
        <w:t>徐州市港口条例</w:t>
      </w:r>
    </w:p>
    <w:p>
      <w:pPr>
        <w:ind w:firstLine="640"/>
        <w:rPr>
          <w:rFonts w:hint="eastAsia"/>
        </w:rPr>
      </w:pPr>
    </w:p>
    <w:p>
      <w:pPr>
        <w:ind w:left="640" w:leftChars="200" w:right="640" w:rightChars="200" w:firstLine="0" w:firstLineChars="0"/>
        <w:rPr>
          <w:rFonts w:hint="eastAsia" w:ascii="Times New Roman" w:hAnsi="Times New Roman" w:eastAsia="楷体_GB2312"/>
        </w:rPr>
      </w:pPr>
      <w:r>
        <w:rPr>
          <w:rFonts w:hint="eastAsia" w:ascii="Times New Roman" w:hAnsi="Times New Roman" w:eastAsia="楷体_GB2312"/>
        </w:rPr>
        <w:t>（2016年12月29日徐州市第十五届人民代表大会常务委员会第三十七次会议制定  2017年1月18日江苏省第十二届人民代表大会常务委员会第二十八次会议批准）</w:t>
      </w:r>
    </w:p>
    <w:p>
      <w:pPr>
        <w:ind w:firstLine="640"/>
        <w:rPr>
          <w:rFonts w:hint="eastAsia"/>
        </w:rPr>
      </w:pPr>
    </w:p>
    <w:p>
      <w:pPr>
        <w:ind w:firstLine="0" w:firstLineChars="0"/>
        <w:jc w:val="center"/>
        <w:rPr>
          <w:rFonts w:hint="eastAsia" w:ascii="楷体_GB2312" w:eastAsia="楷体_GB2312"/>
        </w:rPr>
      </w:pPr>
      <w:r>
        <w:rPr>
          <w:rFonts w:hint="eastAsia" w:ascii="楷体_GB2312" w:eastAsia="楷体_GB2312"/>
        </w:rPr>
        <w:t>目  录</w:t>
      </w:r>
    </w:p>
    <w:p>
      <w:pPr>
        <w:ind w:firstLine="640"/>
        <w:rPr>
          <w:rFonts w:hint="eastAsia" w:ascii="楷体_GB2312" w:eastAsia="楷体_GB2312"/>
        </w:rPr>
      </w:pPr>
      <w:r>
        <w:rPr>
          <w:rFonts w:hint="eastAsia" w:ascii="楷体_GB2312" w:eastAsia="楷体_GB2312"/>
        </w:rPr>
        <w:t>第一章  总则</w:t>
      </w:r>
    </w:p>
    <w:p>
      <w:pPr>
        <w:ind w:firstLine="640"/>
        <w:rPr>
          <w:rFonts w:hint="eastAsia" w:ascii="楷体_GB2312" w:eastAsia="楷体_GB2312"/>
        </w:rPr>
      </w:pPr>
      <w:r>
        <w:rPr>
          <w:rFonts w:hint="eastAsia" w:ascii="楷体_GB2312" w:eastAsia="楷体_GB2312"/>
        </w:rPr>
        <w:t>第二章　港口规划与建设</w:t>
      </w:r>
    </w:p>
    <w:p>
      <w:pPr>
        <w:ind w:firstLine="640"/>
        <w:rPr>
          <w:rFonts w:hint="eastAsia" w:ascii="楷体_GB2312" w:eastAsia="楷体_GB2312"/>
        </w:rPr>
      </w:pPr>
      <w:r>
        <w:rPr>
          <w:rFonts w:hint="eastAsia" w:ascii="楷体_GB2312" w:eastAsia="楷体_GB2312"/>
        </w:rPr>
        <w:t>第三章  港口经营管理</w:t>
      </w:r>
    </w:p>
    <w:p>
      <w:pPr>
        <w:ind w:firstLine="640"/>
        <w:rPr>
          <w:rFonts w:hint="eastAsia" w:ascii="楷体_GB2312" w:eastAsia="楷体_GB2312"/>
        </w:rPr>
      </w:pPr>
      <w:r>
        <w:rPr>
          <w:rFonts w:hint="eastAsia" w:ascii="楷体_GB2312" w:eastAsia="楷体_GB2312"/>
        </w:rPr>
        <w:t>第四章　港口安全与监督管理</w:t>
      </w:r>
    </w:p>
    <w:p>
      <w:pPr>
        <w:ind w:firstLine="640"/>
        <w:rPr>
          <w:rFonts w:hint="eastAsia" w:ascii="楷体_GB2312" w:eastAsia="楷体_GB2312"/>
        </w:rPr>
      </w:pPr>
      <w:r>
        <w:rPr>
          <w:rFonts w:hint="eastAsia" w:ascii="楷体_GB2312" w:eastAsia="楷体_GB2312"/>
        </w:rPr>
        <w:t>第五章  法律责任</w:t>
      </w:r>
    </w:p>
    <w:p>
      <w:pPr>
        <w:ind w:firstLine="640"/>
        <w:rPr>
          <w:rFonts w:hint="eastAsia" w:ascii="楷体_GB2312" w:eastAsia="楷体_GB2312"/>
        </w:rPr>
      </w:pPr>
      <w:r>
        <w:rPr>
          <w:rFonts w:hint="eastAsia" w:ascii="楷体_GB2312" w:eastAsia="楷体_GB2312"/>
        </w:rPr>
        <w:t>第六章  附则</w:t>
      </w:r>
    </w:p>
    <w:p>
      <w:pPr>
        <w:ind w:firstLine="640"/>
        <w:rPr>
          <w:rFonts w:hint="eastAsia"/>
        </w:rPr>
      </w:pPr>
    </w:p>
    <w:p>
      <w:pPr>
        <w:ind w:firstLine="0" w:firstLineChars="0"/>
        <w:jc w:val="center"/>
        <w:rPr>
          <w:rFonts w:hint="eastAsia" w:ascii="黑体" w:eastAsia="黑体"/>
        </w:rPr>
      </w:pPr>
      <w:r>
        <w:rPr>
          <w:rFonts w:hint="eastAsia" w:ascii="黑体" w:eastAsia="黑体"/>
        </w:rPr>
        <w:t>第一章  总则</w:t>
      </w:r>
    </w:p>
    <w:p>
      <w:pPr>
        <w:ind w:firstLine="640"/>
      </w:pPr>
    </w:p>
    <w:p>
      <w:pPr>
        <w:ind w:firstLine="640"/>
        <w:rPr>
          <w:rFonts w:hint="eastAsia"/>
        </w:rPr>
      </w:pPr>
      <w:r>
        <w:rPr>
          <w:rFonts w:hint="eastAsia" w:ascii="黑体" w:eastAsia="黑体"/>
        </w:rPr>
        <w:t>第一条</w:t>
      </w:r>
      <w:r>
        <w:rPr>
          <w:rFonts w:hint="eastAsia"/>
        </w:rPr>
        <w:t xml:space="preserve">  为了规范港口建设、经营和管理行为，维护当事人的合法权益，促进港口发展，根据《中华人民共和国港口法》、《江苏省港口条例》等法律、法规，结合本市实际，制定本条例。</w:t>
      </w:r>
    </w:p>
    <w:p>
      <w:pPr>
        <w:ind w:firstLine="640"/>
        <w:rPr>
          <w:rFonts w:hint="eastAsia"/>
        </w:rPr>
      </w:pPr>
      <w:r>
        <w:rPr>
          <w:rFonts w:hint="eastAsia" w:ascii="黑体" w:eastAsia="黑体"/>
        </w:rPr>
        <w:t>第二条</w:t>
      </w:r>
      <w:r>
        <w:rPr>
          <w:rFonts w:hint="eastAsia"/>
        </w:rPr>
        <w:t xml:space="preserve">  本市行政区域内从事港口规划、建设、维护、经营、管理及其相关活动，适用本条例。</w:t>
      </w:r>
    </w:p>
    <w:p>
      <w:pPr>
        <w:ind w:firstLine="640"/>
        <w:rPr>
          <w:rFonts w:hint="eastAsia"/>
        </w:rPr>
      </w:pPr>
      <w:r>
        <w:rPr>
          <w:rFonts w:hint="eastAsia" w:ascii="黑体" w:eastAsia="黑体"/>
        </w:rPr>
        <w:t>第三条</w:t>
      </w:r>
      <w:r>
        <w:rPr>
          <w:rFonts w:hint="eastAsia"/>
        </w:rPr>
        <w:t xml:space="preserve">  市、县（市）、铜山区、贾汪区港口行政管理部门负责由本级人民政府管理的港口管理工作，其所属的港口管理机构具体实施港口管理工作。</w:t>
      </w:r>
    </w:p>
    <w:p>
      <w:pPr>
        <w:ind w:firstLine="640"/>
        <w:rPr>
          <w:rFonts w:hint="eastAsia"/>
        </w:rPr>
      </w:pPr>
      <w:r>
        <w:rPr>
          <w:rFonts w:hint="eastAsia"/>
        </w:rPr>
        <w:t>人民政府其他部门按照各自职责，依法做好港口相关监督管理工作。</w:t>
      </w:r>
    </w:p>
    <w:p>
      <w:pPr>
        <w:ind w:firstLine="640"/>
        <w:rPr>
          <w:rFonts w:hint="eastAsia"/>
        </w:rPr>
      </w:pPr>
      <w:r>
        <w:rPr>
          <w:rFonts w:hint="eastAsia" w:ascii="黑体" w:eastAsia="黑体"/>
        </w:rPr>
        <w:t>第四条</w:t>
      </w:r>
      <w:r>
        <w:rPr>
          <w:rFonts w:hint="eastAsia"/>
        </w:rPr>
        <w:t xml:space="preserve">  鼓励国内外经济组织和个人依法投资公用码头建设和经营，投资者的合法权益受法律保护。</w:t>
      </w:r>
    </w:p>
    <w:p>
      <w:pPr>
        <w:ind w:firstLine="640"/>
        <w:rPr>
          <w:rFonts w:hint="eastAsia"/>
        </w:rPr>
      </w:pPr>
      <w:r>
        <w:rPr>
          <w:rFonts w:hint="eastAsia" w:ascii="黑体" w:eastAsia="黑体"/>
        </w:rPr>
        <w:t>第五条</w:t>
      </w:r>
      <w:r>
        <w:rPr>
          <w:rFonts w:hint="eastAsia"/>
        </w:rPr>
        <w:t xml:space="preserve">  鼓励建设绿色环保、低碳生态型港口，新建、改建、扩建港口应当配备港口岸电、防尘等节能环保设施。</w:t>
      </w:r>
    </w:p>
    <w:p>
      <w:pPr>
        <w:ind w:firstLine="640"/>
        <w:rPr>
          <w:rFonts w:hint="eastAsia"/>
        </w:rPr>
      </w:pPr>
      <w:r>
        <w:rPr>
          <w:rFonts w:hint="eastAsia" w:ascii="黑体" w:eastAsia="黑体"/>
        </w:rPr>
        <w:t>第六条</w:t>
      </w:r>
      <w:r>
        <w:rPr>
          <w:rFonts w:hint="eastAsia"/>
        </w:rPr>
        <w:t xml:space="preserve">  鼓励建设集口岸通关、公共信息、综合物流和电子商务于一体的信息平台，实现港口信息的整合与共享，服务区域经济发展。</w:t>
      </w:r>
    </w:p>
    <w:p>
      <w:pPr>
        <w:ind w:firstLine="640"/>
      </w:pPr>
    </w:p>
    <w:p>
      <w:pPr>
        <w:ind w:firstLine="0" w:firstLineChars="0"/>
        <w:jc w:val="center"/>
        <w:rPr>
          <w:rFonts w:hint="eastAsia" w:ascii="黑体" w:eastAsia="黑体"/>
        </w:rPr>
      </w:pPr>
      <w:r>
        <w:rPr>
          <w:rFonts w:hint="eastAsia" w:ascii="黑体" w:eastAsia="黑体"/>
        </w:rPr>
        <w:t>第二章　港口规划与建设</w:t>
      </w:r>
    </w:p>
    <w:p>
      <w:pPr>
        <w:ind w:firstLine="640"/>
      </w:pPr>
    </w:p>
    <w:p>
      <w:pPr>
        <w:ind w:firstLine="640"/>
        <w:rPr>
          <w:rFonts w:hint="eastAsia"/>
        </w:rPr>
      </w:pPr>
      <w:r>
        <w:rPr>
          <w:rFonts w:hint="eastAsia" w:ascii="黑体" w:eastAsia="黑体"/>
        </w:rPr>
        <w:t>第七条</w:t>
      </w:r>
      <w:r>
        <w:rPr>
          <w:rFonts w:hint="eastAsia"/>
        </w:rPr>
        <w:t xml:space="preserve">  港口规划的制定、港口建设和港口岸线使用依照港口法律、法规的规定执行。</w:t>
      </w:r>
    </w:p>
    <w:p>
      <w:pPr>
        <w:ind w:firstLine="640"/>
        <w:rPr>
          <w:rFonts w:hint="eastAsia"/>
        </w:rPr>
      </w:pPr>
      <w:r>
        <w:rPr>
          <w:rFonts w:hint="eastAsia" w:ascii="黑体" w:eastAsia="黑体"/>
        </w:rPr>
        <w:t>第八条</w:t>
      </w:r>
      <w:r>
        <w:rPr>
          <w:rFonts w:hint="eastAsia"/>
        </w:rPr>
        <w:t xml:space="preserve">  城乡规划、国土资源等部门编制港口周边区域的相关规划时应当考虑发展港口物流和临港工业功能，征求港口行政管理部门意见。</w:t>
      </w:r>
    </w:p>
    <w:p>
      <w:pPr>
        <w:ind w:firstLine="640"/>
        <w:rPr>
          <w:rFonts w:hint="eastAsia"/>
        </w:rPr>
      </w:pPr>
      <w:r>
        <w:rPr>
          <w:rFonts w:hint="eastAsia" w:ascii="黑体" w:eastAsia="黑体"/>
        </w:rPr>
        <w:t>第九条</w:t>
      </w:r>
      <w:r>
        <w:rPr>
          <w:rFonts w:hint="eastAsia"/>
        </w:rPr>
        <w:t>　港口建设项目的评价、审批、监督和竣工验收应当按照港口法律、法规和国家有关规定执行。</w:t>
      </w:r>
    </w:p>
    <w:p>
      <w:pPr>
        <w:ind w:firstLine="640"/>
        <w:rPr>
          <w:rFonts w:hint="eastAsia"/>
        </w:rPr>
      </w:pPr>
      <w:r>
        <w:rPr>
          <w:rFonts w:hint="eastAsia"/>
        </w:rPr>
        <w:t>从事港口危险货物作业的建设项目还应当按照国家有关规定进行安全条件审查。</w:t>
      </w:r>
    </w:p>
    <w:p>
      <w:pPr>
        <w:ind w:firstLine="640"/>
        <w:rPr>
          <w:rFonts w:hint="eastAsia"/>
        </w:rPr>
      </w:pPr>
      <w:r>
        <w:rPr>
          <w:rFonts w:hint="eastAsia" w:ascii="黑体" w:eastAsia="黑体"/>
        </w:rPr>
        <w:t>第十条</w:t>
      </w:r>
      <w:r>
        <w:rPr>
          <w:rFonts w:hint="eastAsia"/>
        </w:rPr>
        <w:t xml:space="preserve">  市、县（市）、铜山区、贾汪区人民政府应当保障政府投资建设的港口公用航道、锚地等基础设施维护所需的费用。</w:t>
      </w:r>
    </w:p>
    <w:p>
      <w:pPr>
        <w:ind w:firstLine="640"/>
        <w:rPr>
          <w:rFonts w:hint="eastAsia"/>
        </w:rPr>
      </w:pPr>
      <w:r>
        <w:rPr>
          <w:rFonts w:hint="eastAsia"/>
        </w:rPr>
        <w:t>市、县（市）、铜山区、贾汪区人民政府应当根据港口建设发展需要，组织建设与港口相配套的航道、铁路、公路、给排水、供电、通讯等设施。</w:t>
      </w:r>
    </w:p>
    <w:p>
      <w:pPr>
        <w:ind w:firstLine="640"/>
      </w:pPr>
    </w:p>
    <w:p>
      <w:pPr>
        <w:ind w:firstLine="0" w:firstLineChars="0"/>
        <w:jc w:val="center"/>
        <w:rPr>
          <w:rFonts w:hint="eastAsia" w:ascii="黑体" w:eastAsia="黑体"/>
        </w:rPr>
      </w:pPr>
      <w:r>
        <w:rPr>
          <w:rFonts w:hint="eastAsia" w:ascii="黑体" w:eastAsia="黑体"/>
        </w:rPr>
        <w:t>第三章  港口经营管理</w:t>
      </w:r>
    </w:p>
    <w:p>
      <w:pPr>
        <w:ind w:firstLine="640"/>
      </w:pPr>
    </w:p>
    <w:p>
      <w:pPr>
        <w:ind w:firstLine="640"/>
        <w:rPr>
          <w:rFonts w:hint="eastAsia"/>
        </w:rPr>
      </w:pPr>
      <w:r>
        <w:rPr>
          <w:rFonts w:hint="eastAsia" w:ascii="黑体" w:eastAsia="黑体"/>
        </w:rPr>
        <w:t>第十一条</w:t>
      </w:r>
      <w:r>
        <w:rPr>
          <w:rFonts w:hint="eastAsia"/>
        </w:rPr>
        <w:t xml:space="preserve">  从事港口经营，应当依法取得港口经营许可。</w:t>
      </w:r>
    </w:p>
    <w:p>
      <w:pPr>
        <w:ind w:firstLine="640"/>
        <w:rPr>
          <w:rFonts w:hint="eastAsia"/>
        </w:rPr>
      </w:pPr>
      <w:r>
        <w:rPr>
          <w:rFonts w:hint="eastAsia" w:ascii="黑体" w:eastAsia="黑体"/>
        </w:rPr>
        <w:t>第十二条</w:t>
      </w:r>
      <w:r>
        <w:rPr>
          <w:rFonts w:hint="eastAsia"/>
        </w:rPr>
        <w:t xml:space="preserve">  申请从事港口经营，应当具备下列条件：</w:t>
      </w:r>
    </w:p>
    <w:p>
      <w:pPr>
        <w:ind w:firstLine="640"/>
        <w:rPr>
          <w:rFonts w:hint="eastAsia"/>
        </w:rPr>
      </w:pPr>
      <w:r>
        <w:rPr>
          <w:rFonts w:hint="eastAsia"/>
        </w:rPr>
        <w:t>（一）有固定的经营场所；</w:t>
      </w:r>
    </w:p>
    <w:p>
      <w:pPr>
        <w:ind w:firstLine="640"/>
        <w:rPr>
          <w:rFonts w:hint="eastAsia"/>
        </w:rPr>
      </w:pPr>
      <w:r>
        <w:rPr>
          <w:rFonts w:hint="eastAsia"/>
        </w:rPr>
        <w:t xml:space="preserve">（二）有与经营范围、规模相适应的港口设施、设备； </w:t>
      </w:r>
    </w:p>
    <w:p>
      <w:pPr>
        <w:ind w:firstLine="640"/>
        <w:rPr>
          <w:rFonts w:hint="eastAsia"/>
        </w:rPr>
      </w:pPr>
      <w:r>
        <w:rPr>
          <w:rFonts w:hint="eastAsia"/>
        </w:rPr>
        <w:t>（三）有与经营规模、范围相适应的专业技术人员、管理人员；</w:t>
      </w:r>
    </w:p>
    <w:p>
      <w:pPr>
        <w:ind w:firstLine="640"/>
        <w:rPr>
          <w:rFonts w:hint="eastAsia"/>
        </w:rPr>
      </w:pPr>
      <w:r>
        <w:rPr>
          <w:rFonts w:hint="eastAsia"/>
        </w:rPr>
        <w:t>（四）有健全的经营管理制度、安全管理制度和生产安全事故应急预案；</w:t>
      </w:r>
    </w:p>
    <w:p>
      <w:pPr>
        <w:ind w:firstLine="640"/>
        <w:rPr>
          <w:rFonts w:hint="eastAsia"/>
        </w:rPr>
      </w:pPr>
      <w:r>
        <w:rPr>
          <w:rFonts w:hint="eastAsia"/>
        </w:rPr>
        <w:t>（五）法律、法规规定的其他条件。</w:t>
      </w:r>
    </w:p>
    <w:p>
      <w:pPr>
        <w:ind w:firstLine="640"/>
        <w:rPr>
          <w:rFonts w:hint="eastAsia"/>
        </w:rPr>
      </w:pPr>
      <w:r>
        <w:rPr>
          <w:rFonts w:hint="eastAsia" w:ascii="黑体" w:eastAsia="黑体"/>
        </w:rPr>
        <w:t>第十三条</w:t>
      </w:r>
      <w:r>
        <w:rPr>
          <w:rFonts w:hint="eastAsia"/>
        </w:rPr>
        <w:t xml:space="preserve">  申请从事港口经营，应当提交下列相应文件和资料：</w:t>
      </w:r>
    </w:p>
    <w:p>
      <w:pPr>
        <w:ind w:firstLine="640"/>
        <w:rPr>
          <w:rFonts w:hint="eastAsia"/>
        </w:rPr>
      </w:pPr>
      <w:r>
        <w:rPr>
          <w:rFonts w:hint="eastAsia"/>
        </w:rPr>
        <w:t>（一）港口经营业务申请书；</w:t>
      </w:r>
    </w:p>
    <w:p>
      <w:pPr>
        <w:ind w:firstLine="640"/>
        <w:rPr>
          <w:rFonts w:hint="eastAsia"/>
        </w:rPr>
      </w:pPr>
      <w:r>
        <w:rPr>
          <w:rFonts w:hint="eastAsia"/>
        </w:rPr>
        <w:t>（二）办公用房的所有权或者使用权证明；</w:t>
      </w:r>
    </w:p>
    <w:p>
      <w:pPr>
        <w:ind w:firstLine="640"/>
        <w:rPr>
          <w:rFonts w:hint="eastAsia"/>
        </w:rPr>
      </w:pPr>
      <w:r>
        <w:rPr>
          <w:rFonts w:hint="eastAsia"/>
        </w:rPr>
        <w:t>（三）港口码头、储罐、环保设施、消防设施等固定设施的竣工验收证（明）书以及港口岸线使用批准文件；</w:t>
      </w:r>
    </w:p>
    <w:p>
      <w:pPr>
        <w:ind w:firstLine="640"/>
        <w:rPr>
          <w:rFonts w:hint="eastAsia"/>
        </w:rPr>
      </w:pPr>
      <w:r>
        <w:rPr>
          <w:rFonts w:hint="eastAsia"/>
        </w:rPr>
        <w:t>（四）负责安全生产的主要管理人员安全资格证书；</w:t>
      </w:r>
    </w:p>
    <w:p>
      <w:pPr>
        <w:ind w:firstLine="640"/>
        <w:rPr>
          <w:rFonts w:hint="eastAsia"/>
        </w:rPr>
      </w:pPr>
      <w:r>
        <w:rPr>
          <w:rFonts w:hint="eastAsia"/>
        </w:rPr>
        <w:t>（五）符合第十二条规定条件的其他文件和资料。</w:t>
      </w:r>
    </w:p>
    <w:p>
      <w:pPr>
        <w:ind w:firstLine="640"/>
        <w:rPr>
          <w:rFonts w:hint="eastAsia"/>
        </w:rPr>
      </w:pPr>
      <w:r>
        <w:rPr>
          <w:rFonts w:hint="eastAsia" w:ascii="黑体" w:eastAsia="黑体"/>
        </w:rPr>
        <w:t>第十四条</w:t>
      </w:r>
      <w:r>
        <w:rPr>
          <w:rFonts w:hint="eastAsia"/>
        </w:rPr>
        <w:t xml:space="preserve">  从事港口危险货物作业，应当按照国家规定取得危险货物港口经营资质。</w:t>
      </w:r>
    </w:p>
    <w:p>
      <w:pPr>
        <w:ind w:firstLine="640"/>
        <w:rPr>
          <w:rFonts w:hint="eastAsia"/>
        </w:rPr>
      </w:pPr>
      <w:r>
        <w:rPr>
          <w:rFonts w:hint="eastAsia" w:ascii="黑体" w:eastAsia="黑体"/>
        </w:rPr>
        <w:t>第十五条</w:t>
      </w:r>
      <w:r>
        <w:rPr>
          <w:rFonts w:hint="eastAsia"/>
        </w:rPr>
        <w:t>　港口经营人应当按照许可的经营范围和经营区域从事港口经营。</w:t>
      </w:r>
    </w:p>
    <w:p>
      <w:pPr>
        <w:ind w:firstLine="640"/>
        <w:rPr>
          <w:rFonts w:hint="eastAsia"/>
        </w:rPr>
      </w:pPr>
      <w:r>
        <w:rPr>
          <w:rFonts w:hint="eastAsia"/>
        </w:rPr>
        <w:t>变更办公地点、法定代表人等内容，应当向原许可机关备案；变更经营范围，应当依法重新办理港口经营许可手续；停业或者歇业，应当提前三十日书面告知原许可机关。</w:t>
      </w:r>
    </w:p>
    <w:p>
      <w:pPr>
        <w:ind w:firstLine="640"/>
        <w:rPr>
          <w:rFonts w:hint="eastAsia"/>
        </w:rPr>
      </w:pPr>
      <w:r>
        <w:rPr>
          <w:rFonts w:hint="eastAsia" w:ascii="黑体" w:eastAsia="黑体"/>
        </w:rPr>
        <w:t>第十六条</w:t>
      </w:r>
      <w:r>
        <w:rPr>
          <w:rFonts w:hint="eastAsia"/>
        </w:rPr>
        <w:t xml:space="preserve">  港口行政管理部门应当建立港口经营人信用考核体系，并将考核情况定期向社会公布。</w:t>
      </w:r>
    </w:p>
    <w:p>
      <w:pPr>
        <w:ind w:firstLine="640"/>
        <w:rPr>
          <w:rFonts w:hint="eastAsia"/>
        </w:rPr>
      </w:pPr>
      <w:r>
        <w:rPr>
          <w:rFonts w:hint="eastAsia" w:ascii="黑体" w:eastAsia="黑体"/>
        </w:rPr>
        <w:t>第十七条</w:t>
      </w:r>
      <w:r>
        <w:rPr>
          <w:rFonts w:hint="eastAsia"/>
        </w:rPr>
        <w:t xml:space="preserve">  港口经营人应当在经营场所公示其经营范围、收费标准、办事流程、监督举报电话等信息。</w:t>
      </w:r>
    </w:p>
    <w:p>
      <w:pPr>
        <w:ind w:firstLine="640"/>
        <w:rPr>
          <w:rFonts w:hint="eastAsia"/>
        </w:rPr>
      </w:pPr>
      <w:r>
        <w:rPr>
          <w:rFonts w:hint="eastAsia" w:ascii="黑体" w:eastAsia="黑体"/>
        </w:rPr>
        <w:t>第十八条</w:t>
      </w:r>
      <w:r>
        <w:rPr>
          <w:rFonts w:hint="eastAsia"/>
        </w:rPr>
        <w:t xml:space="preserve">  港口经营人不得为无营运资质船舶、车辆或者超越经营范围的船舶、车辆提供服务，不得超过船舶、车辆的核定载重线或者核定载货量配载。</w:t>
      </w:r>
    </w:p>
    <w:p>
      <w:pPr>
        <w:ind w:firstLine="640"/>
        <w:rPr>
          <w:rFonts w:hint="eastAsia"/>
        </w:rPr>
      </w:pPr>
      <w:r>
        <w:rPr>
          <w:rFonts w:hint="eastAsia" w:ascii="黑体" w:eastAsia="黑体"/>
        </w:rPr>
        <w:t>第十九条</w:t>
      </w:r>
      <w:r>
        <w:rPr>
          <w:rFonts w:hint="eastAsia"/>
        </w:rPr>
        <w:t xml:space="preserve">  任何单位或者个人不得违法在河道、堤岸利用浮吊船等移动设备从事货物装卸作业。</w:t>
      </w:r>
    </w:p>
    <w:p>
      <w:pPr>
        <w:ind w:firstLine="640"/>
        <w:rPr>
          <w:rFonts w:hint="eastAsia"/>
        </w:rPr>
      </w:pPr>
      <w:r>
        <w:rPr>
          <w:rFonts w:hint="eastAsia" w:ascii="黑体" w:eastAsia="黑体"/>
        </w:rPr>
        <w:t>第二十条</w:t>
      </w:r>
      <w:r>
        <w:rPr>
          <w:rFonts w:hint="eastAsia"/>
        </w:rPr>
        <w:t>　港口经营人从事港口经营活动应当遵守港口法律、法规和相关规范，并采取有效防护措施，避免对环境造成污染和危害。</w:t>
      </w:r>
    </w:p>
    <w:p>
      <w:pPr>
        <w:ind w:firstLine="640"/>
        <w:rPr>
          <w:rFonts w:hint="eastAsia"/>
        </w:rPr>
      </w:pPr>
      <w:r>
        <w:rPr>
          <w:rFonts w:hint="eastAsia" w:ascii="黑体" w:eastAsia="黑体"/>
        </w:rPr>
        <w:t>第二十一条</w:t>
      </w:r>
      <w:r>
        <w:rPr>
          <w:rFonts w:hint="eastAsia"/>
        </w:rPr>
        <w:t>　港口经营人应当按照国家和省有关规定，向所在地港口行政管理部门如实报送统计资料。</w:t>
      </w:r>
    </w:p>
    <w:p>
      <w:pPr>
        <w:ind w:firstLine="640"/>
      </w:pPr>
    </w:p>
    <w:p>
      <w:pPr>
        <w:ind w:firstLine="0" w:firstLineChars="0"/>
        <w:jc w:val="center"/>
        <w:rPr>
          <w:rFonts w:hint="eastAsia" w:ascii="黑体" w:eastAsia="黑体"/>
        </w:rPr>
      </w:pPr>
      <w:r>
        <w:rPr>
          <w:rFonts w:hint="eastAsia" w:ascii="黑体" w:eastAsia="黑体"/>
        </w:rPr>
        <w:t>第四章　港口安全与监督管理</w:t>
      </w:r>
    </w:p>
    <w:p>
      <w:pPr>
        <w:ind w:firstLine="0" w:firstLineChars="0"/>
        <w:jc w:val="center"/>
        <w:rPr>
          <w:rFonts w:ascii="黑体" w:eastAsia="黑体"/>
        </w:rPr>
      </w:pPr>
    </w:p>
    <w:p>
      <w:pPr>
        <w:ind w:firstLine="640"/>
        <w:rPr>
          <w:rFonts w:hint="eastAsia"/>
        </w:rPr>
      </w:pPr>
      <w:r>
        <w:rPr>
          <w:rFonts w:hint="eastAsia" w:ascii="黑体" w:eastAsia="黑体"/>
        </w:rPr>
        <w:t>第二十二条</w:t>
      </w:r>
      <w:r>
        <w:rPr>
          <w:rFonts w:hint="eastAsia"/>
        </w:rPr>
        <w:t>　市、县（市）、区人民政府应当加强对辖区内港口安全生产工作的领导，协调、解决港口生产监督管理中存在的重大安全问题。</w:t>
      </w:r>
    </w:p>
    <w:p>
      <w:pPr>
        <w:ind w:firstLine="640"/>
        <w:rPr>
          <w:rFonts w:hint="eastAsia"/>
        </w:rPr>
      </w:pPr>
      <w:r>
        <w:rPr>
          <w:rFonts w:hint="eastAsia"/>
        </w:rPr>
        <w:t>港口行政管理部门应当依法对港口规划的实施、港口岸线使用、港口建设和经营、安全生产等活动实施监督检查。</w:t>
      </w:r>
    </w:p>
    <w:p>
      <w:pPr>
        <w:ind w:firstLine="640"/>
        <w:rPr>
          <w:rFonts w:hint="eastAsia"/>
        </w:rPr>
      </w:pPr>
      <w:r>
        <w:rPr>
          <w:rFonts w:hint="eastAsia" w:ascii="黑体" w:eastAsia="黑体"/>
        </w:rPr>
        <w:t xml:space="preserve">第二十三条 </w:t>
      </w:r>
      <w:r>
        <w:rPr>
          <w:rFonts w:hint="eastAsia"/>
        </w:rPr>
        <w:t xml:space="preserve"> 港口经营人对港口的安全生产全面负责，建立健全港口安全生产管理制度和作业规程，加强港口设施、设备的维护和管理。</w:t>
      </w:r>
    </w:p>
    <w:p>
      <w:pPr>
        <w:ind w:firstLine="640"/>
        <w:rPr>
          <w:rFonts w:hint="eastAsia"/>
        </w:rPr>
      </w:pPr>
      <w:r>
        <w:rPr>
          <w:rFonts w:hint="eastAsia" w:ascii="黑体" w:eastAsia="黑体"/>
        </w:rPr>
        <w:t>第二十四条</w:t>
      </w:r>
      <w:r>
        <w:rPr>
          <w:rFonts w:hint="eastAsia"/>
        </w:rPr>
        <w:t xml:space="preserve">  港口行政管理部门应当加强货物港口监管，督促港口经营人完善安全生产条件。</w:t>
      </w:r>
    </w:p>
    <w:p>
      <w:pPr>
        <w:ind w:firstLine="640"/>
        <w:rPr>
          <w:rFonts w:hint="eastAsia"/>
        </w:rPr>
      </w:pPr>
      <w:r>
        <w:rPr>
          <w:rFonts w:hint="eastAsia"/>
        </w:rPr>
        <w:t>从事危险货物作业的，港口经营人应当委托具有相应资质条件的评价机构，对本单位的安全生产条件每三年进行一次安全评价，并将安全评价报告报所在地港口行政管理部门备案。</w:t>
      </w:r>
    </w:p>
    <w:p>
      <w:pPr>
        <w:ind w:firstLine="640"/>
        <w:rPr>
          <w:rFonts w:hint="eastAsia"/>
        </w:rPr>
      </w:pPr>
      <w:r>
        <w:rPr>
          <w:rFonts w:hint="eastAsia" w:ascii="黑体" w:eastAsia="黑体"/>
        </w:rPr>
        <w:t>第二十五条</w:t>
      </w:r>
      <w:r>
        <w:rPr>
          <w:rFonts w:hint="eastAsia"/>
        </w:rPr>
        <w:t xml:space="preserve">  危险货物港口经营人和国家规定的规模以上普通货物港口经营人应当建立港口安全生产标准化体系，实施安全生产标准化。</w:t>
      </w:r>
    </w:p>
    <w:p>
      <w:pPr>
        <w:ind w:firstLine="640"/>
        <w:rPr>
          <w:rFonts w:hint="eastAsia"/>
        </w:rPr>
      </w:pPr>
      <w:r>
        <w:rPr>
          <w:rFonts w:hint="eastAsia" w:ascii="黑体" w:eastAsia="黑体"/>
        </w:rPr>
        <w:t>第二十六条</w:t>
      </w:r>
      <w:r>
        <w:rPr>
          <w:rFonts w:hint="eastAsia"/>
        </w:rPr>
        <w:t xml:space="preserve">  港口行政管理部门应当制定港口危险货物事故、重大生产安全事故等应急预案以及预防自然灾害预案，建立健全港口应急救援体系，将应急预案报同级人民政府批准后公布，并报上一级港口行政管理部门备案。</w:t>
      </w:r>
    </w:p>
    <w:p>
      <w:pPr>
        <w:ind w:firstLine="640"/>
        <w:rPr>
          <w:rFonts w:hint="eastAsia"/>
        </w:rPr>
      </w:pPr>
      <w:r>
        <w:rPr>
          <w:rFonts w:hint="eastAsia" w:ascii="黑体" w:eastAsia="黑体"/>
        </w:rPr>
        <w:t>第二十七条</w:t>
      </w:r>
      <w:r>
        <w:rPr>
          <w:rFonts w:hint="eastAsia"/>
        </w:rPr>
        <w:t xml:space="preserve">  港口经营人应当制定危险货物事故、旅客紧急救援疏散、预防自然灾害、突发环境污染事故等应急预案，并定期组织演练，及时修订完善应急预案。应急预案应当报所在地港口行政管理部门和海事管理机构备案。</w:t>
      </w:r>
    </w:p>
    <w:p>
      <w:pPr>
        <w:ind w:firstLine="640"/>
      </w:pPr>
    </w:p>
    <w:p>
      <w:pPr>
        <w:ind w:firstLine="0" w:firstLineChars="0"/>
        <w:jc w:val="center"/>
        <w:rPr>
          <w:rFonts w:hint="eastAsia" w:ascii="黑体" w:eastAsia="黑体"/>
        </w:rPr>
      </w:pPr>
      <w:r>
        <w:rPr>
          <w:rFonts w:hint="eastAsia" w:ascii="黑体" w:eastAsia="黑体"/>
        </w:rPr>
        <w:t>第五章  法律责任</w:t>
      </w:r>
    </w:p>
    <w:p>
      <w:pPr>
        <w:ind w:firstLine="640"/>
      </w:pPr>
    </w:p>
    <w:p>
      <w:pPr>
        <w:ind w:firstLine="640"/>
        <w:rPr>
          <w:rFonts w:hint="eastAsia"/>
        </w:rPr>
      </w:pPr>
      <w:r>
        <w:rPr>
          <w:rFonts w:hint="eastAsia" w:ascii="黑体" w:eastAsia="黑体"/>
        </w:rPr>
        <w:t>第二十八条</w:t>
      </w:r>
      <w:r>
        <w:rPr>
          <w:rFonts w:hint="eastAsia"/>
        </w:rPr>
        <w:t xml:space="preserve">  未依法取得港口经营许可证，从事港口经营的，由港口行政管理部门责令停止违法经营，没收违法所得；违法所得十万元以上的，并处违法所得二倍以上五倍以下罚款；违法所得不足十万元的，处五万元以上二十万元以下罚款。</w:t>
      </w:r>
    </w:p>
    <w:p>
      <w:pPr>
        <w:ind w:firstLine="640"/>
        <w:rPr>
          <w:rFonts w:hint="eastAsia"/>
        </w:rPr>
      </w:pPr>
      <w:r>
        <w:rPr>
          <w:rFonts w:hint="eastAsia" w:ascii="黑体" w:eastAsia="黑体"/>
        </w:rPr>
        <w:t>第二十九条</w:t>
      </w:r>
      <w:r>
        <w:rPr>
          <w:rFonts w:hint="eastAsia"/>
        </w:rPr>
        <w:t xml:space="preserve">  港口经营人在取得经营许可后，出现不符合原许可条件情形的，由港口行政管理部门责令其停止经营，限期改正；逾期不改正的，由作出行政许可决定的部门吊销港口经营许可证，并向社会公布。</w:t>
      </w:r>
    </w:p>
    <w:p>
      <w:pPr>
        <w:ind w:firstLine="640"/>
        <w:rPr>
          <w:rFonts w:hint="eastAsia"/>
        </w:rPr>
      </w:pPr>
    </w:p>
    <w:p>
      <w:pPr>
        <w:ind w:firstLine="0" w:firstLineChars="0"/>
        <w:jc w:val="center"/>
        <w:rPr>
          <w:rFonts w:hint="eastAsia" w:ascii="黑体" w:eastAsia="黑体"/>
        </w:rPr>
      </w:pPr>
      <w:r>
        <w:rPr>
          <w:rFonts w:hint="eastAsia" w:ascii="黑体" w:eastAsia="黑体"/>
        </w:rPr>
        <w:t>第六章  附则</w:t>
      </w:r>
    </w:p>
    <w:p>
      <w:pPr>
        <w:ind w:firstLine="640"/>
      </w:pPr>
    </w:p>
    <w:p>
      <w:pPr>
        <w:ind w:firstLine="640"/>
        <w:rPr>
          <w:rFonts w:hint="eastAsia"/>
        </w:rPr>
      </w:pPr>
      <w:r>
        <w:rPr>
          <w:rFonts w:hint="eastAsia" w:ascii="黑体" w:eastAsia="黑体"/>
        </w:rPr>
        <w:t>第三十条</w:t>
      </w:r>
      <w:r>
        <w:rPr>
          <w:rFonts w:hint="eastAsia"/>
        </w:rPr>
        <w:t>　本条例自 2017 年5 月1 日起施行。</w:t>
      </w:r>
    </w:p>
    <w:p>
      <w:pPr>
        <w:ind w:firstLine="640"/>
        <w:rPr>
          <w:rFonts w:hint="eastAsia"/>
        </w:rPr>
      </w:pPr>
    </w:p>
    <w:p>
      <w:pPr>
        <w:ind w:firstLine="640"/>
        <w:rPr>
          <w:rFonts w:hint="eastAsia"/>
        </w:rPr>
      </w:pPr>
    </w:p>
    <w:sectPr>
      <w:headerReference r:id="rId6" w:type="first"/>
      <w:headerReference r:id="rId4" w:type="default"/>
      <w:footerReference r:id="rId7" w:type="default"/>
      <w:headerReference r:id="rId5" w:type="even"/>
      <w:footerReference r:id="rId8" w:type="even"/>
      <w:pgSz w:w="11907" w:h="16840"/>
      <w:pgMar w:top="1985" w:right="1531" w:bottom="1814" w:left="1531" w:header="567" w:footer="1701" w:gutter="0"/>
      <w:pgNumType w:start="1"/>
      <w:cols w:space="720" w:num="1"/>
      <w:docGrid w:linePitch="572" w:charSpace="-52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Times">
    <w:altName w:val="Times New Roman"/>
    <w:panose1 w:val="02020603050405020304"/>
    <w:charset w:val="00"/>
    <w:family w:val="roman"/>
    <w:pitch w:val="default"/>
    <w:sig w:usb0="20007A87" w:usb1="80000000" w:usb2="00000008" w:usb3="00000000" w:csb0="000001FF" w:csb1="00000000"/>
  </w:font>
  <w:font w:name="仿宋_GB2312">
    <w:altName w:val="仿宋"/>
    <w:panose1 w:val="02010609030101010101"/>
    <w:charset w:val="86"/>
    <w:family w:val="modern"/>
    <w:pitch w:val="default"/>
    <w:sig w:usb0="00000001" w:usb1="080E0000" w:usb2="00000010" w:usb3="00000000" w:csb0="00040000" w:csb1="00000000"/>
  </w:font>
  <w:font w:name="方正小标宋_GBK">
    <w:altName w:val="微软雅黑"/>
    <w:panose1 w:val="02000000000000000000"/>
    <w:charset w:val="86"/>
    <w:family w:val="script"/>
    <w:pitch w:val="default"/>
    <w:sig w:usb0="00000001" w:usb1="080E0000" w:usb2="00000010" w:usb3="00000000" w:csb0="00040000" w:csb1="00000000"/>
  </w:font>
  <w:font w:name="方正小标宋简体">
    <w:altName w:val="微软雅黑"/>
    <w:panose1 w:val="02010601030101010101"/>
    <w:charset w:val="86"/>
    <w:family w:val="auto"/>
    <w:pitch w:val="default"/>
    <w:sig w:usb0="00000001" w:usb1="080E0000" w:usb2="00000010" w:usb3="00000000" w:csb0="00040000" w:csb1="00000000"/>
  </w:font>
  <w:font w:name="方正楷体_GBK">
    <w:altName w:val="微软雅黑"/>
    <w:panose1 w:val="02000000000000000000"/>
    <w:charset w:val="86"/>
    <w:family w:val="script"/>
    <w:pitch w:val="default"/>
    <w:sig w:usb0="00000001" w:usb1="080E0000" w:usb2="00000010" w:usb3="00000000" w:csb0="00040000" w:csb1="00000000"/>
  </w:font>
  <w:font w:name="楷体_GB2312">
    <w:altName w:val="楷体"/>
    <w:panose1 w:val="02010609030101010101"/>
    <w:charset w:val="86"/>
    <w:family w:val="modern"/>
    <w:pitch w:val="default"/>
    <w:sig w:usb0="00000001" w:usb1="080E0000" w:usb2="00000010" w:usb3="00000000" w:csb0="00040000" w:csb1="00000000"/>
  </w:font>
  <w:font w:name="Book Antiqua">
    <w:panose1 w:val="02040602050305030304"/>
    <w:charset w:val="00"/>
    <w:family w:val="roman"/>
    <w:pitch w:val="default"/>
    <w:sig w:usb0="00000287" w:usb1="00000000" w:usb2="00000000" w:usb3="00000000" w:csb0="2000009F" w:csb1="DFD70000"/>
  </w:font>
  <w:font w:name="方正黑体简体">
    <w:altName w:val="微软雅黑"/>
    <w:panose1 w:val="03000509000000000000"/>
    <w:charset w:val="86"/>
    <w:family w:val="script"/>
    <w:pitch w:val="default"/>
    <w:sig w:usb0="00000001" w:usb1="080E0000" w:usb2="00000010" w:usb3="00000000" w:csb0="00040000" w:csb1="00000000"/>
  </w:font>
  <w:font w:name="方正楷体简体">
    <w:altName w:val="宋体"/>
    <w:panose1 w:val="03000509000000000000"/>
    <w:charset w:val="86"/>
    <w:family w:val="script"/>
    <w:pitch w:val="default"/>
    <w:sig w:usb0="00000001" w:usb1="080E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8"/>
      <w:rPr>
        <w:rFonts w:hint="eastAsia"/>
      </w:rPr>
    </w:pPr>
    <w:r>
      <w:rPr>
        <w:rFonts w:hint="eastAsia"/>
      </w:rPr>
      <w:t>─</w:t>
    </w:r>
    <w:r>
      <w:t xml:space="preserve"> </w:t>
    </w:r>
    <w:r>
      <w:fldChar w:fldCharType="begin"/>
    </w:r>
    <w:r>
      <w:instrText xml:space="preserve">PAGE  </w:instrText>
    </w:r>
    <w:r>
      <w:fldChar w:fldCharType="separate"/>
    </w:r>
    <w:r>
      <w:rPr>
        <w:lang/>
      </w:rPr>
      <w:t>1</w:t>
    </w:r>
    <w:r>
      <w:fldChar w:fldCharType="end"/>
    </w:r>
    <w:r>
      <w:t xml:space="preserve"> </w:t>
    </w:r>
    <w:r>
      <w:rPr>
        <w:rFonts w:hint="eastAsia"/>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8"/>
      <w:ind w:firstLine="300" w:firstLineChars="100"/>
    </w:pPr>
    <w:r>
      <w:rPr>
        <w:rFonts w:hint="eastAsia"/>
      </w:rPr>
      <w:t>─</w:t>
    </w:r>
    <w:r>
      <w:t xml:space="preserve"> </w:t>
    </w:r>
    <w:r>
      <w:fldChar w:fldCharType="begin"/>
    </w:r>
    <w:r>
      <w:instrText xml:space="preserve">PAGE  </w:instrText>
    </w:r>
    <w:r>
      <w:fldChar w:fldCharType="separate"/>
    </w:r>
    <w:r>
      <w:rPr>
        <w:lang/>
      </w:rPr>
      <w:t>2</w:t>
    </w:r>
    <w:r>
      <w:fldChar w:fldCharType="end"/>
    </w:r>
    <w:r>
      <w:t xml:space="preserve"> </w:t>
    </w:r>
    <w:r>
      <w:rPr>
        <w:rFonts w:hint="eastAsia"/>
      </w:rPr>
      <w:t>─</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
      <w:pBdr>
        <w:bottom w:val="none" w:color="auto" w:sz="0" w:space="0"/>
      </w:pBdr>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
      <w:pBdr>
        <w:bottom w:val="none" w:color="auto" w:sz="0" w:space="0"/>
      </w:pBdr>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bordersDoNotSurroundHeader w:val="1"/>
  <w:bordersDoNotSurroundFooter w:val="1"/>
  <w:attachedTemplate r:id="rId1"/>
  <w:documentProtection w:enforcement="0"/>
  <w:defaultTabStop w:val="425"/>
  <w:evenAndOddHeaders w:val="1"/>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compat>
    <w:spaceForUL/>
    <w:balanceSingleByteDoubleByteWidth/>
    <w:doNotLeaveBackslashAlone/>
    <w:ulTrailSpace/>
    <w:splitPgBreakAndParaMark/>
    <w:doNotExpandShiftReturn/>
    <w:shapeLayoutLikeWW8/>
    <w:alignTablesRowByRow/>
    <w:doNotUseHTMLParagraphAutoSpacing/>
    <w:useWord97LineBreakRules/>
    <w:doNotBreakWrappedTables/>
    <w:doNotWrapTextWithPunct/>
    <w:doNotUseEastAsianBreakRules/>
    <w:growAutofit/>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302CA5"/>
    <w:rsid w:val="00183A60"/>
    <w:rsid w:val="00302CA5"/>
    <w:rsid w:val="003F7A14"/>
    <w:rsid w:val="00765EB0"/>
    <w:rsid w:val="030D5DE4"/>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overflowPunct w:val="0"/>
      <w:snapToGrid w:val="0"/>
      <w:spacing w:line="590" w:lineRule="exact"/>
      <w:ind w:firstLine="200" w:firstLineChars="200"/>
      <w:jc w:val="both"/>
    </w:pPr>
    <w:rPr>
      <w:rFonts w:ascii="Times" w:hAnsi="Times" w:eastAsia="仿宋_GB2312"/>
      <w:kern w:val="2"/>
      <w:sz w:val="32"/>
      <w:lang w:val="en-US" w:eastAsia="zh-CN" w:bidi="ar-SA"/>
    </w:rPr>
  </w:style>
  <w:style w:type="paragraph" w:styleId="2">
    <w:name w:val="heading 1"/>
    <w:basedOn w:val="1"/>
    <w:next w:val="1"/>
    <w:uiPriority w:val="0"/>
    <w:pPr>
      <w:keepNext/>
      <w:keepLines/>
      <w:spacing w:before="340" w:after="330" w:line="578" w:lineRule="atLeast"/>
      <w:outlineLvl w:val="0"/>
    </w:pPr>
    <w:rPr>
      <w:b/>
      <w:bCs/>
      <w:kern w:val="44"/>
      <w:sz w:val="44"/>
      <w:szCs w:val="44"/>
    </w:rPr>
  </w:style>
  <w:style w:type="paragraph" w:styleId="3">
    <w:name w:val="heading 2"/>
    <w:basedOn w:val="1"/>
    <w:next w:val="1"/>
    <w:uiPriority w:val="0"/>
    <w:pPr>
      <w:keepNext/>
      <w:keepLines/>
      <w:spacing w:before="260" w:after="260" w:line="416" w:lineRule="atLeast"/>
      <w:outlineLvl w:val="1"/>
    </w:pPr>
    <w:rPr>
      <w:rFonts w:ascii="Arial" w:hAnsi="Arial" w:eastAsia="黑体"/>
      <w:b/>
      <w:bCs/>
      <w:szCs w:val="32"/>
    </w:rPr>
  </w:style>
  <w:style w:type="paragraph" w:styleId="4">
    <w:name w:val="heading 3"/>
    <w:basedOn w:val="1"/>
    <w:next w:val="1"/>
    <w:uiPriority w:val="0"/>
    <w:pPr>
      <w:keepNext/>
      <w:keepLines/>
      <w:spacing w:before="260" w:after="260" w:line="416" w:lineRule="atLeast"/>
      <w:outlineLvl w:val="2"/>
    </w:pPr>
    <w:rPr>
      <w:b/>
      <w:bCs/>
      <w:szCs w:val="32"/>
    </w:rPr>
  </w:style>
  <w:style w:type="character" w:default="1" w:styleId="11">
    <w:name w:val="Default Paragraph Font"/>
    <w:link w:val="12"/>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5">
    <w:name w:val="Body Text Indent"/>
    <w:basedOn w:val="1"/>
    <w:uiPriority w:val="0"/>
    <w:pPr>
      <w:autoSpaceDE w:val="0"/>
      <w:spacing w:line="500" w:lineRule="exact"/>
      <w:ind w:firstLine="630"/>
    </w:pPr>
    <w:rPr>
      <w:rFonts w:ascii="仿宋_GB2312"/>
      <w:spacing w:val="-6"/>
    </w:rPr>
  </w:style>
  <w:style w:type="paragraph" w:styleId="6">
    <w:name w:val="Date"/>
    <w:basedOn w:val="1"/>
    <w:next w:val="1"/>
    <w:uiPriority w:val="0"/>
    <w:pPr>
      <w:snapToGrid/>
      <w:spacing w:line="240" w:lineRule="auto"/>
      <w:ind w:left="100" w:leftChars="2500" w:firstLine="0"/>
    </w:pPr>
    <w:rPr>
      <w:rFonts w:ascii="Times New Roman" w:eastAsia="宋体"/>
      <w:b/>
      <w:bCs/>
      <w:sz w:val="28"/>
      <w:szCs w:val="24"/>
    </w:rPr>
  </w:style>
  <w:style w:type="paragraph" w:styleId="7">
    <w:name w:val="Body Text Indent 2"/>
    <w:basedOn w:val="1"/>
    <w:uiPriority w:val="0"/>
    <w:pPr>
      <w:autoSpaceDE w:val="0"/>
      <w:autoSpaceDN w:val="0"/>
      <w:spacing w:line="567" w:lineRule="atLeast"/>
      <w:ind w:left="1120" w:hanging="1120" w:hangingChars="400"/>
    </w:pPr>
    <w:rPr>
      <w:sz w:val="28"/>
    </w:rPr>
  </w:style>
  <w:style w:type="paragraph" w:styleId="8">
    <w:name w:val="footer"/>
    <w:basedOn w:val="1"/>
    <w:uiPriority w:val="0"/>
    <w:pPr>
      <w:framePr w:wrap="around" w:vAnchor="text" w:hAnchor="margin" w:xAlign="outside" w:y="1"/>
      <w:tabs>
        <w:tab w:val="center" w:pos="4153"/>
        <w:tab w:val="right" w:pos="8306"/>
      </w:tabs>
      <w:wordWrap w:val="0"/>
      <w:spacing w:line="400" w:lineRule="atLeast"/>
      <w:ind w:firstLine="0" w:firstLineChars="0"/>
      <w:jc w:val="left"/>
    </w:pPr>
    <w:rPr>
      <w:sz w:val="30"/>
    </w:rPr>
  </w:style>
  <w:style w:type="paragraph" w:styleId="9">
    <w:name w:val="header"/>
    <w:basedOn w:val="1"/>
    <w:uiPriority w:val="0"/>
    <w:pPr>
      <w:pBdr>
        <w:bottom w:val="single" w:color="auto" w:sz="6" w:space="1"/>
      </w:pBdr>
      <w:tabs>
        <w:tab w:val="center" w:pos="4153"/>
        <w:tab w:val="right" w:pos="8306"/>
      </w:tabs>
      <w:spacing w:line="240" w:lineRule="atLeast"/>
      <w:jc w:val="center"/>
    </w:pPr>
    <w:rPr>
      <w:sz w:val="18"/>
      <w:szCs w:val="18"/>
    </w:rPr>
  </w:style>
  <w:style w:type="paragraph" w:styleId="10">
    <w:name w:val="Body Text Indent 3"/>
    <w:basedOn w:val="1"/>
    <w:uiPriority w:val="0"/>
    <w:pPr>
      <w:snapToGrid/>
      <w:spacing w:line="440" w:lineRule="exact"/>
      <w:ind w:left="540" w:firstLine="538" w:firstLineChars="192"/>
    </w:pPr>
    <w:rPr>
      <w:rFonts w:ascii="Times New Roman" w:eastAsia="宋体"/>
      <w:sz w:val="28"/>
      <w:szCs w:val="24"/>
    </w:rPr>
  </w:style>
  <w:style w:type="paragraph" w:customStyle="1" w:styleId="12">
    <w:name w:val="_Style 7"/>
    <w:basedOn w:val="1"/>
    <w:link w:val="11"/>
    <w:uiPriority w:val="0"/>
    <w:pPr>
      <w:widowControl/>
      <w:spacing w:after="160" w:line="240" w:lineRule="exact"/>
      <w:jc w:val="left"/>
    </w:pPr>
  </w:style>
  <w:style w:type="character" w:styleId="13">
    <w:name w:val="page number"/>
    <w:basedOn w:val="11"/>
    <w:uiPriority w:val="0"/>
    <w:rPr/>
  </w:style>
  <w:style w:type="paragraph" w:customStyle="1" w:styleId="15">
    <w:name w:val="标题1"/>
    <w:basedOn w:val="1"/>
    <w:next w:val="1"/>
    <w:uiPriority w:val="0"/>
    <w:pPr>
      <w:tabs>
        <w:tab w:val="left" w:pos="9193"/>
        <w:tab w:val="left" w:pos="9827"/>
      </w:tabs>
      <w:autoSpaceDE w:val="0"/>
      <w:autoSpaceDN w:val="0"/>
      <w:spacing w:line="760" w:lineRule="atLeast"/>
      <w:ind w:firstLine="0" w:firstLineChars="0"/>
      <w:jc w:val="center"/>
    </w:pPr>
    <w:rPr>
      <w:rFonts w:ascii="方正小标宋_GBK" w:eastAsia="方正小标宋简体"/>
      <w:sz w:val="44"/>
    </w:rPr>
  </w:style>
  <w:style w:type="paragraph" w:customStyle="1" w:styleId="16">
    <w:name w:val="标题2"/>
    <w:basedOn w:val="1"/>
    <w:next w:val="1"/>
    <w:uiPriority w:val="0"/>
    <w:pPr>
      <w:ind w:firstLine="0" w:firstLineChars="0"/>
      <w:jc w:val="center"/>
    </w:pPr>
    <w:rPr>
      <w:rFonts w:ascii="方正楷体_GBK" w:hAnsi="Book Antiqua" w:eastAsia="楷体_GB2312"/>
    </w:rPr>
  </w:style>
  <w:style w:type="paragraph" w:customStyle="1" w:styleId="17">
    <w:name w:val="标题3"/>
    <w:basedOn w:val="1"/>
    <w:next w:val="1"/>
    <w:uiPriority w:val="0"/>
    <w:pPr>
      <w:adjustRightInd w:val="0"/>
    </w:pPr>
    <w:rPr>
      <w:rFonts w:ascii="方正黑体简体" w:eastAsia="方正黑体简体"/>
    </w:rPr>
  </w:style>
  <w:style w:type="paragraph" w:customStyle="1" w:styleId="18">
    <w:name w:val="标题4"/>
    <w:basedOn w:val="17"/>
    <w:next w:val="1"/>
    <w:uiPriority w:val="0"/>
    <w:pPr>
      <w:jc w:val="center"/>
    </w:pPr>
  </w:style>
  <w:style w:type="paragraph" w:customStyle="1" w:styleId="19">
    <w:name w:val="标题5"/>
    <w:basedOn w:val="1"/>
    <w:next w:val="1"/>
    <w:uiPriority w:val="0"/>
    <w:rPr>
      <w:rFonts w:ascii="方正楷体简体" w:eastAsia="方正楷体简体"/>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0" Type="http://schemas.openxmlformats.org/officeDocument/2006/relationships/customXml" Target="../customXml/item1.xml"/><Relationship Id="rId1"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 and Settings\admin\Application Data\Microsoft\Templates\A4(GB2312&#23383;&#20307;).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A4(GB2312字体).dot</Template>
  <Pages>1</Pages>
  <Words>375</Words>
  <Characters>2138</Characters>
  <Lines>17</Lines>
  <Paragraphs>5</Paragraphs>
  <ScaleCrop>false</ScaleCrop>
  <LinksUpToDate>false</LinksUpToDate>
  <CharactersWithSpaces>2508</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2017-02-17T02:00:00Z</dcterms:created>
  <dc:creator>admin</dc:creator>
  <cp:lastModifiedBy>user</cp:lastModifiedBy>
  <cp:lastPrinted>2002-07-23T02:37:00Z</cp:lastPrinted>
  <dcterms:modified xsi:type="dcterms:W3CDTF">2017-02-27T02:01:48Z</dcterms:modified>
  <dc:title>公文通报模板</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