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1680"/>
        <w:rPr>
          <w:rFonts w:cs="Times New Roman"/>
        </w:rPr>
      </w:pPr>
    </w:p>
    <w:p>
      <w:pPr>
        <w:ind w:firstLine="31680"/>
        <w:rPr>
          <w:rFonts w:cs="Times New Roman"/>
        </w:rPr>
      </w:pPr>
    </w:p>
    <w:p>
      <w:pPr>
        <w:ind w:firstLine="0" w:firstLineChars="0"/>
        <w:jc w:val="center"/>
        <w:rPr>
          <w:rFonts w:ascii="宋体" w:hAnsi="宋体" w:eastAsia="宋体" w:cs="Times New Roman"/>
          <w:sz w:val="44"/>
          <w:szCs w:val="44"/>
        </w:rPr>
      </w:pPr>
      <w:r>
        <w:rPr>
          <w:rFonts w:hint="eastAsia" w:ascii="宋体" w:hAnsi="宋体" w:eastAsia="宋体" w:cs="宋体"/>
          <w:sz w:val="44"/>
          <w:szCs w:val="44"/>
        </w:rPr>
        <w:t>江苏省人民代表大会常务委员会</w:t>
      </w:r>
    </w:p>
    <w:p>
      <w:pPr>
        <w:ind w:firstLine="0" w:firstLineChars="0"/>
        <w:jc w:val="center"/>
        <w:rPr>
          <w:rFonts w:ascii="宋体" w:hAnsi="宋体" w:eastAsia="宋体" w:cs="Times New Roman"/>
          <w:sz w:val="44"/>
          <w:szCs w:val="44"/>
        </w:rPr>
      </w:pPr>
      <w:r>
        <w:rPr>
          <w:rFonts w:hint="eastAsia" w:ascii="宋体" w:hAnsi="宋体" w:eastAsia="宋体" w:cs="宋体"/>
          <w:sz w:val="44"/>
          <w:szCs w:val="44"/>
        </w:rPr>
        <w:t>关于加强地震观测环境保护的决定</w:t>
      </w:r>
    </w:p>
    <w:p>
      <w:pPr>
        <w:ind w:firstLine="0" w:firstLineChars="0"/>
        <w:jc w:val="center"/>
        <w:rPr>
          <w:rFonts w:ascii="方正楷体_GBK" w:eastAsia="方正楷体_GBK" w:cs="Times New Roman"/>
        </w:rPr>
      </w:pPr>
    </w:p>
    <w:p>
      <w:pPr>
        <w:ind w:firstLine="0" w:firstLineChars="0"/>
        <w:jc w:val="center"/>
        <w:rPr>
          <w:rFonts w:hint="eastAsia" w:ascii="楷体" w:hAnsi="楷体" w:eastAsia="楷体" w:cs="楷体"/>
          <w:b w:val="0"/>
          <w:bCs w:val="0"/>
        </w:rPr>
      </w:pPr>
      <w:r>
        <w:rPr>
          <w:rFonts w:hint="eastAsia" w:ascii="楷体" w:hAnsi="楷体" w:eastAsia="楷体" w:cs="楷体"/>
          <w:b w:val="0"/>
          <w:bCs w:val="0"/>
        </w:rPr>
        <w:t>（2003年6月24日江苏省第十届人民代表大会常务</w:t>
      </w:r>
    </w:p>
    <w:p>
      <w:pPr>
        <w:ind w:firstLine="0" w:firstLineChars="0"/>
        <w:jc w:val="center"/>
        <w:rPr>
          <w:rFonts w:hint="eastAsia" w:ascii="楷体" w:hAnsi="楷体" w:eastAsia="楷体" w:cs="楷体"/>
          <w:b w:val="0"/>
          <w:bCs w:val="0"/>
        </w:rPr>
      </w:pPr>
      <w:r>
        <w:rPr>
          <w:rFonts w:hint="eastAsia" w:ascii="楷体" w:hAnsi="楷体" w:eastAsia="楷体" w:cs="楷体"/>
          <w:b w:val="0"/>
          <w:bCs w:val="0"/>
        </w:rPr>
        <w:t>委员会第三次会议通过  根据2010年9月29日江苏省</w:t>
      </w:r>
    </w:p>
    <w:p>
      <w:pPr>
        <w:ind w:firstLine="0" w:firstLineChars="0"/>
        <w:jc w:val="center"/>
        <w:rPr>
          <w:rFonts w:hint="eastAsia" w:ascii="楷体" w:hAnsi="楷体" w:eastAsia="楷体" w:cs="楷体"/>
          <w:b w:val="0"/>
          <w:bCs w:val="0"/>
        </w:rPr>
      </w:pPr>
      <w:r>
        <w:rPr>
          <w:rFonts w:hint="eastAsia" w:ascii="楷体" w:hAnsi="楷体" w:eastAsia="楷体" w:cs="楷体"/>
          <w:b w:val="0"/>
          <w:bCs w:val="0"/>
        </w:rPr>
        <w:t>第十一届人民代表大会常务委员会第十七次会议《关于</w:t>
      </w:r>
    </w:p>
    <w:p>
      <w:pPr>
        <w:ind w:firstLine="0" w:firstLineChars="0"/>
        <w:jc w:val="center"/>
        <w:rPr>
          <w:rFonts w:hint="eastAsia" w:ascii="楷体" w:hAnsi="楷体" w:eastAsia="楷体" w:cs="楷体"/>
          <w:b w:val="0"/>
          <w:bCs w:val="0"/>
        </w:rPr>
      </w:pPr>
      <w:r>
        <w:rPr>
          <w:rFonts w:hint="eastAsia" w:ascii="楷体" w:hAnsi="楷体" w:eastAsia="楷体" w:cs="楷体"/>
          <w:b w:val="0"/>
          <w:bCs w:val="0"/>
          <w:lang w:val="en-US" w:eastAsia="zh-CN"/>
        </w:rPr>
        <w:t xml:space="preserve"> </w:t>
      </w:r>
      <w:r>
        <w:rPr>
          <w:rFonts w:hint="eastAsia" w:ascii="楷体" w:hAnsi="楷体" w:eastAsia="楷体" w:cs="楷体"/>
          <w:b w:val="0"/>
          <w:bCs w:val="0"/>
        </w:rPr>
        <w:t>修改〈江苏省人民代表大会常务委员会关于加强地震观测</w:t>
      </w:r>
    </w:p>
    <w:p>
      <w:pPr>
        <w:ind w:firstLine="0" w:firstLineChars="0"/>
        <w:jc w:val="left"/>
        <w:rPr>
          <w:rFonts w:hint="eastAsia" w:ascii="楷体" w:hAnsi="楷体" w:eastAsia="楷体" w:cs="楷体"/>
          <w:b w:val="0"/>
          <w:bCs w:val="0"/>
        </w:rPr>
      </w:pPr>
      <w:r>
        <w:rPr>
          <w:rFonts w:hint="eastAsia" w:ascii="楷体" w:hAnsi="楷体" w:eastAsia="楷体" w:cs="楷体"/>
          <w:b w:val="0"/>
          <w:bCs w:val="0"/>
          <w:lang w:val="en-US" w:eastAsia="zh-CN"/>
        </w:rPr>
        <w:t xml:space="preserve">   </w:t>
      </w:r>
      <w:r>
        <w:rPr>
          <w:rFonts w:hint="eastAsia" w:ascii="楷体" w:hAnsi="楷体" w:eastAsia="楷体" w:cs="楷体"/>
          <w:b w:val="0"/>
          <w:bCs w:val="0"/>
        </w:rPr>
        <w:t>环境保护的决定〉的决定》修正）</w:t>
      </w:r>
    </w:p>
    <w:p>
      <w:pPr>
        <w:ind w:firstLine="31680"/>
        <w:rPr>
          <w:rFonts w:hint="eastAsia" w:ascii="仿宋" w:hAnsi="仿宋" w:eastAsia="仿宋" w:cs="仿宋"/>
        </w:rPr>
      </w:pPr>
    </w:p>
    <w:p>
      <w:pPr>
        <w:ind w:firstLine="31680"/>
        <w:rPr>
          <w:rFonts w:hint="eastAsia" w:ascii="仿宋" w:hAnsi="仿宋" w:eastAsia="仿宋" w:cs="仿宋"/>
        </w:rPr>
      </w:pPr>
      <w:r>
        <w:rPr>
          <w:rFonts w:hint="eastAsia" w:ascii="仿宋" w:hAnsi="仿宋" w:eastAsia="仿宋" w:cs="仿宋"/>
        </w:rPr>
        <w:t>为了加强对地震观测环境的保护，保障地震监测预报工作的正常进行，根据《中华人民共和国防震减灾法》等法律、法规的规定，结合本省实际，作出如下决定：</w:t>
      </w:r>
    </w:p>
    <w:p>
      <w:pPr>
        <w:ind w:firstLine="31680"/>
        <w:rPr>
          <w:rFonts w:hint="eastAsia" w:ascii="仿宋" w:hAnsi="仿宋" w:eastAsia="仿宋" w:cs="仿宋"/>
        </w:rPr>
      </w:pPr>
      <w:r>
        <w:rPr>
          <w:rFonts w:hint="eastAsia" w:ascii="仿宋" w:hAnsi="仿宋" w:eastAsia="仿宋" w:cs="仿宋"/>
        </w:rPr>
        <w:t>一、县级以上地方人民政府应当加强对地震观测环境保护工作的领导，组织有关部门采取措施，相互配合，做好地震观测环境保护工作。地震监测设施所在地的人民政府负有保护地震观测环境的责任。</w:t>
      </w:r>
    </w:p>
    <w:p>
      <w:pPr>
        <w:ind w:firstLine="31680"/>
        <w:rPr>
          <w:rFonts w:hint="eastAsia" w:ascii="仿宋" w:hAnsi="仿宋" w:eastAsia="仿宋" w:cs="仿宋"/>
        </w:rPr>
      </w:pPr>
      <w:r>
        <w:rPr>
          <w:rFonts w:hint="eastAsia" w:ascii="仿宋" w:hAnsi="仿宋" w:eastAsia="仿宋" w:cs="仿宋"/>
        </w:rPr>
        <w:t>县级以上地方人民政府管理地震工作的部门（以下简称地震部门）应当加强对地震观测环境保护工作的监督、检查和指导、协调。</w:t>
      </w:r>
    </w:p>
    <w:p>
      <w:pPr>
        <w:ind w:firstLine="31680"/>
        <w:rPr>
          <w:rFonts w:hint="eastAsia" w:ascii="仿宋" w:hAnsi="仿宋" w:eastAsia="仿宋" w:cs="仿宋"/>
        </w:rPr>
      </w:pPr>
      <w:r>
        <w:rPr>
          <w:rFonts w:hint="eastAsia" w:ascii="仿宋" w:hAnsi="仿宋" w:eastAsia="仿宋" w:cs="仿宋"/>
        </w:rPr>
        <w:t>县级以上规划、住房城乡建设、国土资源、公安等有关部门应当按照各自职责，共同做好地震观测环境的保护工作。</w:t>
      </w:r>
    </w:p>
    <w:p>
      <w:pPr>
        <w:ind w:firstLine="31680"/>
        <w:rPr>
          <w:rFonts w:hint="eastAsia" w:ascii="仿宋" w:hAnsi="仿宋" w:eastAsia="仿宋" w:cs="仿宋"/>
        </w:rPr>
      </w:pPr>
      <w:r>
        <w:rPr>
          <w:rFonts w:hint="eastAsia" w:ascii="仿宋" w:hAnsi="仿宋" w:eastAsia="仿宋" w:cs="仿宋"/>
        </w:rPr>
        <w:t>二、任何单位和个人都有保护地震观测环境的义务。禁止任何单位或者个人危害、破坏地震观测环境。</w:t>
      </w:r>
    </w:p>
    <w:p>
      <w:pPr>
        <w:ind w:firstLine="31680"/>
        <w:rPr>
          <w:rFonts w:hint="eastAsia" w:ascii="仿宋" w:hAnsi="仿宋" w:eastAsia="仿宋" w:cs="仿宋"/>
        </w:rPr>
      </w:pPr>
      <w:r>
        <w:rPr>
          <w:rFonts w:hint="eastAsia" w:ascii="仿宋" w:hAnsi="仿宋" w:eastAsia="仿宋" w:cs="仿宋"/>
        </w:rPr>
        <w:t>三、地震观测环境保护范围按照国家有关规定划定。国家对干扰源距地震监测设施的最小距离没有具体规定的，由地震部门会同规划等有关部门通过现场实测确定。</w:t>
      </w:r>
    </w:p>
    <w:p>
      <w:pPr>
        <w:ind w:firstLine="31680"/>
        <w:rPr>
          <w:rFonts w:hint="eastAsia" w:ascii="仿宋" w:hAnsi="仿宋" w:eastAsia="仿宋" w:cs="仿宋"/>
        </w:rPr>
      </w:pPr>
      <w:r>
        <w:rPr>
          <w:rFonts w:hint="eastAsia" w:ascii="仿宋" w:hAnsi="仿宋" w:eastAsia="仿宋" w:cs="仿宋"/>
        </w:rPr>
        <w:t>地震部门应当将本行政区域内地震监测设施分布地点、地震观测环境保护范围及其变动情况向本级人民政府报告，同时书面通报同级规划部门和公安机关，并向社会公布。</w:t>
      </w:r>
    </w:p>
    <w:p>
      <w:pPr>
        <w:ind w:firstLine="31680"/>
        <w:rPr>
          <w:rFonts w:hint="eastAsia" w:ascii="仿宋" w:hAnsi="仿宋" w:eastAsia="仿宋" w:cs="仿宋"/>
        </w:rPr>
      </w:pPr>
      <w:r>
        <w:rPr>
          <w:rFonts w:hint="eastAsia" w:ascii="仿宋" w:hAnsi="仿宋" w:eastAsia="仿宋" w:cs="仿宋"/>
        </w:rPr>
        <w:t>地震部门应当在地震观测环境保护范围的适当位置设置保护标志，标明保护要求。</w:t>
      </w:r>
    </w:p>
    <w:p>
      <w:pPr>
        <w:ind w:firstLine="31680"/>
        <w:rPr>
          <w:rFonts w:hint="eastAsia" w:ascii="仿宋" w:hAnsi="仿宋" w:eastAsia="仿宋" w:cs="仿宋"/>
        </w:rPr>
      </w:pPr>
      <w:r>
        <w:rPr>
          <w:rFonts w:hint="eastAsia" w:ascii="仿宋" w:hAnsi="仿宋" w:eastAsia="仿宋" w:cs="仿宋"/>
        </w:rPr>
        <w:t>四、地震台（站）等地震监测设施应当科学规划、合理设置。地震观测环境保护范围应当纳入城乡规划。</w:t>
      </w:r>
    </w:p>
    <w:p>
      <w:pPr>
        <w:ind w:firstLine="31680"/>
        <w:rPr>
          <w:rFonts w:hint="eastAsia" w:ascii="仿宋" w:hAnsi="仿宋" w:eastAsia="仿宋" w:cs="仿宋"/>
        </w:rPr>
      </w:pPr>
      <w:r>
        <w:rPr>
          <w:rFonts w:hint="eastAsia" w:ascii="仿宋" w:hAnsi="仿宋" w:eastAsia="仿宋" w:cs="仿宋"/>
        </w:rPr>
        <w:t>规划部门应当严格执行地震观测环境保护的规定，对不符合地震观测环境保护规定的建设项目，规划部门不予批准。</w:t>
      </w:r>
    </w:p>
    <w:p>
      <w:pPr>
        <w:ind w:firstLine="31680"/>
        <w:rPr>
          <w:rFonts w:hint="eastAsia" w:ascii="仿宋" w:hAnsi="仿宋" w:eastAsia="仿宋" w:cs="仿宋"/>
        </w:rPr>
      </w:pPr>
      <w:r>
        <w:rPr>
          <w:rFonts w:hint="eastAsia" w:ascii="仿宋" w:hAnsi="仿宋" w:eastAsia="仿宋" w:cs="仿宋"/>
        </w:rPr>
        <w:t>五、新建、扩建、改建建设工程应当避免对地震观测环境造成危害。确实无法避免而又必须建设的国家和省重点工程，建设单位应当在工程设计前征得地震部门的同意，并按照国家规定采取补救措施，迁建地震监测设施或者增建抗干扰工程。迁建地震监测设施的，新旧台（站）址地震对比观测时间不得少于一年。</w:t>
      </w:r>
    </w:p>
    <w:p>
      <w:pPr>
        <w:ind w:firstLine="31680"/>
        <w:rPr>
          <w:rFonts w:hint="eastAsia" w:ascii="仿宋" w:hAnsi="仿宋" w:eastAsia="仿宋" w:cs="仿宋"/>
        </w:rPr>
      </w:pPr>
      <w:r>
        <w:rPr>
          <w:rFonts w:hint="eastAsia" w:ascii="仿宋" w:hAnsi="仿宋" w:eastAsia="仿宋" w:cs="仿宋"/>
        </w:rPr>
        <w:t>国家和省重点工程影响地震观测环境，涉及国家级地震台网和省级地震台网的，建设单位应当征得省地震部门的同意；涉及其他地震台网的，建设单位应当征得设区的市地震部门的同意。</w:t>
      </w:r>
    </w:p>
    <w:p>
      <w:pPr>
        <w:ind w:firstLine="31680"/>
        <w:rPr>
          <w:rFonts w:hint="eastAsia" w:ascii="仿宋" w:hAnsi="仿宋" w:eastAsia="仿宋" w:cs="仿宋"/>
        </w:rPr>
      </w:pPr>
      <w:r>
        <w:rPr>
          <w:rFonts w:hint="eastAsia" w:ascii="仿宋" w:hAnsi="仿宋" w:eastAsia="仿宋" w:cs="仿宋"/>
        </w:rPr>
        <w:t>六、因建设工程危害地震观测环境而迁建地震监测设施或者增建抗干扰工程，必须保证地震监测设施及其观测环境达到观测技术规范要求。所需搬迁、选址、征地、新台（站）基建（包括监测设施和辅助设施）、新台（站）对比观测仪器设备购置及安装、对比观测和试运行及新增的维护，以及需增加的抗干扰工程建设等费用，均由建设单位承担。</w:t>
      </w:r>
    </w:p>
    <w:p>
      <w:pPr>
        <w:ind w:firstLine="31680"/>
        <w:rPr>
          <w:rFonts w:hint="eastAsia" w:ascii="仿宋" w:hAnsi="仿宋" w:eastAsia="仿宋" w:cs="仿宋"/>
        </w:rPr>
      </w:pPr>
      <w:r>
        <w:rPr>
          <w:rFonts w:hint="eastAsia" w:ascii="仿宋" w:hAnsi="仿宋" w:eastAsia="仿宋" w:cs="仿宋"/>
        </w:rPr>
        <w:t>迁建地震监测设施造成地震观测资料中断的，地震部门应当采取补救措施，所需费用由建设单位承担；不能采取补救措施的，建设单位应当根据资料年限和管理费用给予补偿。</w:t>
      </w:r>
    </w:p>
    <w:p>
      <w:pPr>
        <w:ind w:firstLine="31680"/>
        <w:rPr>
          <w:rFonts w:hint="eastAsia" w:ascii="仿宋" w:hAnsi="仿宋" w:eastAsia="仿宋" w:cs="仿宋"/>
        </w:rPr>
      </w:pPr>
      <w:r>
        <w:rPr>
          <w:rFonts w:hint="eastAsia" w:ascii="仿宋" w:hAnsi="仿宋" w:eastAsia="仿宋" w:cs="仿宋"/>
        </w:rPr>
        <w:t>七、禁止下列危害地震观测环境的行为：</w:t>
      </w:r>
    </w:p>
    <w:p>
      <w:pPr>
        <w:ind w:firstLine="31680"/>
        <w:rPr>
          <w:rFonts w:hint="eastAsia" w:ascii="仿宋" w:hAnsi="仿宋" w:eastAsia="仿宋" w:cs="仿宋"/>
        </w:rPr>
      </w:pPr>
      <w:r>
        <w:rPr>
          <w:rFonts w:hint="eastAsia" w:ascii="仿宋" w:hAnsi="仿宋" w:eastAsia="仿宋" w:cs="仿宋"/>
        </w:rPr>
        <w:t>（一）在地震台（站）的观测环境保护范围内从事爆破、采石等产生振动的活动，干扰地震计正常记录的；</w:t>
      </w:r>
    </w:p>
    <w:p>
      <w:pPr>
        <w:ind w:firstLine="31680"/>
        <w:rPr>
          <w:rFonts w:hint="eastAsia" w:ascii="仿宋" w:hAnsi="仿宋" w:eastAsia="仿宋" w:cs="仿宋"/>
        </w:rPr>
      </w:pPr>
      <w:r>
        <w:rPr>
          <w:rFonts w:hint="eastAsia" w:ascii="仿宋" w:hAnsi="仿宋" w:eastAsia="仿宋" w:cs="仿宋"/>
        </w:rPr>
        <w:t>（二）在地震台（站）的观测环境保护范围内堆放钢、铁等铁磁性物质或者架设高压输电线，干扰地磁仪器正常记录的；</w:t>
      </w:r>
    </w:p>
    <w:p>
      <w:pPr>
        <w:ind w:firstLine="31680"/>
        <w:rPr>
          <w:rFonts w:hint="eastAsia" w:ascii="仿宋" w:hAnsi="仿宋" w:eastAsia="仿宋" w:cs="仿宋"/>
        </w:rPr>
      </w:pPr>
      <w:r>
        <w:rPr>
          <w:rFonts w:hint="eastAsia" w:ascii="仿宋" w:hAnsi="仿宋" w:eastAsia="仿宋" w:cs="仿宋"/>
        </w:rPr>
        <w:t>（三）在地震台（站）的观测环境保护范围内抽水、蓄水，干扰地形变仪器正常记录的；</w:t>
      </w:r>
    </w:p>
    <w:p>
      <w:pPr>
        <w:ind w:firstLine="31680"/>
        <w:rPr>
          <w:rFonts w:hint="eastAsia" w:ascii="仿宋" w:hAnsi="仿宋" w:eastAsia="仿宋" w:cs="仿宋"/>
        </w:rPr>
      </w:pPr>
      <w:r>
        <w:rPr>
          <w:rFonts w:hint="eastAsia" w:ascii="仿宋" w:hAnsi="仿宋" w:eastAsia="仿宋" w:cs="仿宋"/>
        </w:rPr>
        <w:t>（四）在地电布极区的观测环境保护范围内从事埋设非绝缘金属管道或者线路、抽注水和开沟挖坑等活动，干扰地电仪器正常记录的；</w:t>
      </w:r>
    </w:p>
    <w:p>
      <w:pPr>
        <w:ind w:firstLine="31680"/>
        <w:rPr>
          <w:rFonts w:hint="eastAsia" w:ascii="仿宋" w:hAnsi="仿宋" w:eastAsia="仿宋" w:cs="仿宋"/>
        </w:rPr>
      </w:pPr>
      <w:r>
        <w:rPr>
          <w:rFonts w:hint="eastAsia" w:ascii="仿宋" w:hAnsi="仿宋" w:eastAsia="仿宋" w:cs="仿宋"/>
        </w:rPr>
        <w:t>（五）未经设区的市以上地震部门同意在地震观测井（水点）的观测环境保护范围内开采地下水或者注水，干扰水化学、水物理仪器正常记录的；</w:t>
      </w:r>
    </w:p>
    <w:p>
      <w:pPr>
        <w:ind w:firstLine="31680"/>
        <w:rPr>
          <w:rFonts w:hint="eastAsia" w:ascii="仿宋" w:hAnsi="仿宋" w:eastAsia="仿宋" w:cs="仿宋"/>
        </w:rPr>
      </w:pPr>
      <w:r>
        <w:rPr>
          <w:rFonts w:hint="eastAsia" w:ascii="仿宋" w:hAnsi="仿宋" w:eastAsia="仿宋" w:cs="仿宋"/>
        </w:rPr>
        <w:t>（六）在地形变观测的山洞顶部的观测环境保护范围内破坏植被或者进行土石开采，影响山洞正常温湿度的；</w:t>
      </w:r>
    </w:p>
    <w:p>
      <w:pPr>
        <w:ind w:firstLine="31680"/>
        <w:rPr>
          <w:rFonts w:hint="eastAsia" w:ascii="仿宋" w:hAnsi="仿宋" w:eastAsia="仿宋" w:cs="仿宋"/>
        </w:rPr>
      </w:pPr>
      <w:r>
        <w:rPr>
          <w:rFonts w:hint="eastAsia" w:ascii="仿宋" w:hAnsi="仿宋" w:eastAsia="仿宋" w:cs="仿宋"/>
        </w:rPr>
        <w:t>（七）法律、法规规定的其他危害地震观测环境的行为。</w:t>
      </w:r>
    </w:p>
    <w:p>
      <w:pPr>
        <w:ind w:firstLine="31680"/>
        <w:rPr>
          <w:rFonts w:hint="eastAsia" w:ascii="仿宋" w:hAnsi="仿宋" w:eastAsia="仿宋" w:cs="仿宋"/>
        </w:rPr>
      </w:pPr>
      <w:r>
        <w:rPr>
          <w:rFonts w:hint="eastAsia" w:ascii="仿宋" w:hAnsi="仿宋" w:eastAsia="仿宋" w:cs="仿宋"/>
        </w:rPr>
        <w:t>八、新建、扩建、改建建设工程对地震观测环境造成危害，又未依法事先征得同意并采取相应措施的，由地震部门责令停止违法行为，限期恢复原状或者采取其他补救措施；逾期不改正的，处二万元以上二十万元以下的罚款；造成损失的，依法承担赔偿责任。</w:t>
      </w:r>
    </w:p>
    <w:p>
      <w:pPr>
        <w:ind w:firstLine="31680"/>
        <w:rPr>
          <w:rFonts w:hint="eastAsia" w:ascii="仿宋" w:hAnsi="仿宋" w:eastAsia="仿宋" w:cs="仿宋"/>
        </w:rPr>
      </w:pPr>
      <w:r>
        <w:rPr>
          <w:rFonts w:hint="eastAsia" w:ascii="仿宋" w:hAnsi="仿宋" w:eastAsia="仿宋" w:cs="仿宋"/>
        </w:rPr>
        <w:t>九、有本决定第七条所列行为的，由地震部门责令限期改正，可以对个人处一千元以上五千元以下的罚款，对单位处二万元以上十万元以下的罚款；造成损失的，依法承担赔偿责任。</w:t>
      </w:r>
    </w:p>
    <w:p>
      <w:pPr>
        <w:ind w:firstLine="31680"/>
        <w:rPr>
          <w:rFonts w:hint="eastAsia" w:ascii="仿宋" w:hAnsi="仿宋" w:eastAsia="仿宋" w:cs="仿宋"/>
        </w:rPr>
      </w:pPr>
      <w:r>
        <w:rPr>
          <w:rFonts w:hint="eastAsia" w:ascii="仿宋" w:hAnsi="仿宋" w:eastAsia="仿宋" w:cs="仿宋"/>
        </w:rPr>
        <w:t>违反本决定的规定，构成违反治安管理行为的，由公安机关依法给予治安处罚；构成犯罪的，依法追究刑事责任。</w:t>
      </w:r>
    </w:p>
    <w:p>
      <w:pPr>
        <w:ind w:firstLine="31680"/>
        <w:rPr>
          <w:rFonts w:hint="eastAsia" w:ascii="仿宋" w:hAnsi="仿宋" w:eastAsia="仿宋" w:cs="仿宋"/>
        </w:rPr>
      </w:pPr>
      <w:r>
        <w:rPr>
          <w:rFonts w:hint="eastAsia" w:ascii="仿宋" w:hAnsi="仿宋" w:eastAsia="仿宋" w:cs="仿宋"/>
        </w:rPr>
        <w:t>十、地震、规划等部门及其工作人员有违反本决定行为的，对负有直接责任的主管人员和其他直接责任人员由所在单位或者上级机关依法给予行政处分。</w:t>
      </w:r>
    </w:p>
    <w:p>
      <w:pPr>
        <w:ind w:firstLine="31680"/>
        <w:rPr>
          <w:rFonts w:hint="eastAsia" w:ascii="仿宋" w:hAnsi="仿宋" w:eastAsia="仿宋" w:cs="仿宋"/>
        </w:rPr>
      </w:pPr>
      <w:r>
        <w:rPr>
          <w:rFonts w:hint="eastAsia" w:ascii="仿宋" w:hAnsi="仿宋" w:eastAsia="仿宋" w:cs="仿宋"/>
        </w:rPr>
        <w:t>十一、本决定自2003年10月1日起</w:t>
      </w:r>
      <w:bookmarkStart w:id="0" w:name="_GoBack"/>
      <w:bookmarkEnd w:id="0"/>
      <w:r>
        <w:rPr>
          <w:rFonts w:hint="eastAsia" w:ascii="仿宋" w:hAnsi="仿宋" w:eastAsia="仿宋" w:cs="仿宋"/>
        </w:rPr>
        <w:t>施行。</w:t>
      </w:r>
    </w:p>
    <w:sectPr>
      <w:headerReference r:id="rId4" w:type="default"/>
      <w:footerReference r:id="rId6" w:type="default"/>
      <w:headerReference r:id="rId5" w:type="even"/>
      <w:footerReference r:id="rId7"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auto"/>
    <w:pitch w:val="default"/>
    <w:sig w:usb0="20002A87" w:usb1="80000000" w:usb2="00000008" w:usb3="00000000" w:csb0="000001FF" w:csb1="00000000"/>
  </w:font>
  <w:font w:name="方正仿宋_GBK">
    <w:altName w:val="微软雅黑"/>
    <w:panose1 w:val="03000509000000000000"/>
    <w:charset w:val="86"/>
    <w:family w:val="auto"/>
    <w:pitch w:val="default"/>
    <w:sig w:usb0="00000001" w:usb1="080E0000" w:usb2="00000010" w:usb3="00000000" w:csb0="00040000" w:csb1="00000000"/>
  </w:font>
  <w:font w:name="方正小标宋_GBK">
    <w:altName w:val="微软雅黑"/>
    <w:panose1 w:val="03000509000000000000"/>
    <w:charset w:val="86"/>
    <w:family w:val="auto"/>
    <w:pitch w:val="default"/>
    <w:sig w:usb0="00000001" w:usb1="080E0000" w:usb2="00000010" w:usb3="00000000" w:csb0="00040000" w:csb1="00000000"/>
  </w:font>
  <w:font w:name="方正楷体_GBK">
    <w:altName w:val="微软雅黑"/>
    <w:panose1 w:val="03000509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仿宋_GB2312">
    <w:altName w:val="仿宋"/>
    <w:panose1 w:val="02010609030101010101"/>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ind w:firstLine="31680" w:firstLineChars="100"/>
      <w:rPr>
        <w:rFonts w:cs="Times New Roman"/>
      </w:rPr>
    </w:pPr>
    <w:r>
      <w:rPr>
        <w:rFonts w:hint="eastAsia" w:cs="方正仿宋_GBK"/>
      </w:rPr>
      <w:t>─</w:t>
    </w:r>
    <w:r>
      <w:t xml:space="preserve"> </w:t>
    </w:r>
    <w:r>
      <w:fldChar w:fldCharType="begin"/>
    </w:r>
    <w:r>
      <w:instrText xml:space="preserve">PAGE  </w:instrText>
    </w:r>
    <w:r>
      <w:fldChar w:fldCharType="separate"/>
    </w:r>
    <w:r>
      <w:t>4</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A219D"/>
    <w:rsid w:val="0013364C"/>
    <w:rsid w:val="001A219D"/>
    <w:rsid w:val="002068A9"/>
    <w:rsid w:val="00361146"/>
    <w:rsid w:val="003E3AF6"/>
    <w:rsid w:val="004443AF"/>
    <w:rsid w:val="005D3EAF"/>
    <w:rsid w:val="005E2C12"/>
    <w:rsid w:val="00A02122"/>
    <w:rsid w:val="00A13524"/>
    <w:rsid w:val="00A15272"/>
    <w:rsid w:val="00A31A83"/>
    <w:rsid w:val="00A42D94"/>
    <w:rsid w:val="00B54EA5"/>
    <w:rsid w:val="00B90F78"/>
    <w:rsid w:val="00D26682"/>
    <w:rsid w:val="00D62435"/>
    <w:rsid w:val="00E06939"/>
    <w:rsid w:val="00E43ABE"/>
    <w:rsid w:val="00EC1CC5"/>
    <w:rsid w:val="00ED0249"/>
    <w:rsid w:val="3BF32771"/>
    <w:rsid w:val="70190B73"/>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nhideWhenUsed="0" w:uiPriority="99" w:name="Default Paragraph Font"/>
    <w:lsdException w:uiPriority="0" w:name="Body Text"/>
    <w:lsdException w:unhideWhenUsed="0"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99" w:semiHidden="0" w:name="Body Text Indent 2"/>
    <w:lsdException w:unhideWhenUsed="0" w:uiPriority="99" w:semiHidden="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9"/>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20"/>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21"/>
    <w:qFormat/>
    <w:uiPriority w:val="99"/>
    <w:pPr>
      <w:keepNext/>
      <w:keepLines/>
      <w:spacing w:before="260" w:after="260" w:line="416" w:lineRule="atLeast"/>
      <w:outlineLvl w:val="2"/>
    </w:pPr>
    <w:rPr>
      <w:b/>
      <w:bCs/>
    </w:rPr>
  </w:style>
  <w:style w:type="character" w:default="1" w:styleId="11">
    <w:name w:val="Default Paragraph Font"/>
    <w:semiHidden/>
    <w:uiPriority w:val="99"/>
  </w:style>
  <w:style w:type="table" w:default="1" w:styleId="13">
    <w:name w:val="Normal Table"/>
    <w:unhideWhenUsed/>
    <w:qFormat/>
    <w:uiPriority w:val="99"/>
    <w:tblPr>
      <w:tblStyle w:val="13"/>
      <w:tblLayout w:type="fixed"/>
      <w:tblCellMar>
        <w:top w:w="0" w:type="dxa"/>
        <w:left w:w="108" w:type="dxa"/>
        <w:bottom w:w="0" w:type="dxa"/>
        <w:right w:w="108" w:type="dxa"/>
      </w:tblCellMar>
    </w:tblPr>
    <w:tcPr>
      <w:textDirection w:val="lrTb"/>
    </w:tcPr>
  </w:style>
  <w:style w:type="paragraph" w:styleId="5">
    <w:name w:val="Body Text Indent"/>
    <w:basedOn w:val="1"/>
    <w:link w:val="24"/>
    <w:uiPriority w:val="99"/>
    <w:pPr>
      <w:autoSpaceDE w:val="0"/>
      <w:spacing w:line="500" w:lineRule="exact"/>
      <w:ind w:firstLine="630"/>
    </w:pPr>
    <w:rPr>
      <w:rFonts w:ascii="仿宋_GB2312" w:cs="仿宋_GB2312"/>
      <w:spacing w:val="-6"/>
    </w:rPr>
  </w:style>
  <w:style w:type="paragraph" w:styleId="6">
    <w:name w:val="Date"/>
    <w:basedOn w:val="1"/>
    <w:next w:val="1"/>
    <w:link w:val="26"/>
    <w:uiPriority w:val="99"/>
    <w:pPr>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uiPriority w:val="99"/>
    <w:pPr>
      <w:autoSpaceDE w:val="0"/>
      <w:autoSpaceDN w:val="0"/>
      <w:spacing w:line="567" w:lineRule="atLeast"/>
      <w:ind w:left="1120" w:hanging="1120" w:hangingChars="400"/>
    </w:pPr>
    <w:rPr>
      <w:sz w:val="28"/>
      <w:szCs w:val="28"/>
    </w:rPr>
  </w:style>
  <w:style w:type="paragraph" w:styleId="8">
    <w:name w:val="footer"/>
    <w:basedOn w:val="1"/>
    <w:link w:val="22"/>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3"/>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uiPriority w:val="99"/>
    <w:pPr>
      <w:snapToGrid/>
      <w:spacing w:line="440" w:lineRule="exact"/>
      <w:ind w:left="540" w:firstLine="538" w:firstLineChars="192"/>
    </w:pPr>
    <w:rPr>
      <w:rFonts w:ascii="Times New Roman" w:eastAsia="宋体" w:cs="Times New Roman"/>
      <w:sz w:val="28"/>
      <w:szCs w:val="28"/>
    </w:rPr>
  </w:style>
  <w:style w:type="character" w:styleId="12">
    <w:name w:val="page number"/>
    <w:basedOn w:val="11"/>
    <w:uiPriority w:val="99"/>
    <w:rPr/>
  </w:style>
  <w:style w:type="paragraph" w:customStyle="1" w:styleId="14">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paragraph" w:customStyle="1" w:styleId="15">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16">
    <w:name w:val="标题3"/>
    <w:basedOn w:val="1"/>
    <w:next w:val="1"/>
    <w:uiPriority w:val="99"/>
    <w:pPr>
      <w:adjustRightInd w:val="0"/>
    </w:pPr>
    <w:rPr>
      <w:rFonts w:ascii="方正黑体简体" w:eastAsia="方正黑体简体" w:cs="方正黑体简体"/>
    </w:rPr>
  </w:style>
  <w:style w:type="paragraph" w:customStyle="1" w:styleId="17">
    <w:name w:val="标题4"/>
    <w:basedOn w:val="16"/>
    <w:next w:val="1"/>
    <w:uiPriority w:val="99"/>
    <w:pPr>
      <w:jc w:val="center"/>
    </w:pPr>
  </w:style>
  <w:style w:type="paragraph" w:customStyle="1" w:styleId="18">
    <w:name w:val="标题5"/>
    <w:basedOn w:val="1"/>
    <w:next w:val="1"/>
    <w:uiPriority w:val="99"/>
    <w:rPr>
      <w:rFonts w:ascii="方正楷体简体" w:eastAsia="方正楷体简体" w:cs="方正楷体简体"/>
    </w:rPr>
  </w:style>
  <w:style w:type="character" w:customStyle="1" w:styleId="19">
    <w:name w:val="Heading 1 Char"/>
    <w:basedOn w:val="11"/>
    <w:link w:val="2"/>
    <w:uiPriority w:val="9"/>
    <w:rPr>
      <w:rFonts w:ascii="Times" w:hAnsi="Times" w:eastAsia="方正仿宋_GBK" w:cs="Times"/>
      <w:b/>
      <w:bCs/>
      <w:kern w:val="44"/>
      <w:sz w:val="44"/>
      <w:szCs w:val="44"/>
    </w:rPr>
  </w:style>
  <w:style w:type="character" w:customStyle="1" w:styleId="20">
    <w:name w:val="Heading 2 Char"/>
    <w:basedOn w:val="11"/>
    <w:link w:val="3"/>
    <w:semiHidden/>
    <w:uiPriority w:val="9"/>
    <w:rPr>
      <w:rFonts w:ascii="Cambria" w:hAnsi="Cambria" w:eastAsia="宋体" w:cs="黑体"/>
      <w:b/>
      <w:bCs/>
      <w:sz w:val="32"/>
      <w:szCs w:val="32"/>
    </w:rPr>
  </w:style>
  <w:style w:type="character" w:customStyle="1" w:styleId="21">
    <w:name w:val="Heading 3 Char"/>
    <w:basedOn w:val="11"/>
    <w:link w:val="4"/>
    <w:semiHidden/>
    <w:uiPriority w:val="9"/>
    <w:rPr>
      <w:rFonts w:ascii="Times" w:hAnsi="Times" w:eastAsia="方正仿宋_GBK" w:cs="Times"/>
      <w:b/>
      <w:bCs/>
      <w:sz w:val="32"/>
      <w:szCs w:val="32"/>
    </w:rPr>
  </w:style>
  <w:style w:type="character" w:customStyle="1" w:styleId="22">
    <w:name w:val="Footer Char"/>
    <w:basedOn w:val="11"/>
    <w:link w:val="8"/>
    <w:semiHidden/>
    <w:uiPriority w:val="99"/>
    <w:rPr>
      <w:rFonts w:ascii="Times" w:hAnsi="Times" w:eastAsia="方正仿宋_GBK" w:cs="Times"/>
      <w:sz w:val="18"/>
      <w:szCs w:val="18"/>
    </w:rPr>
  </w:style>
  <w:style w:type="character" w:customStyle="1" w:styleId="23">
    <w:name w:val="Header Char"/>
    <w:basedOn w:val="11"/>
    <w:link w:val="9"/>
    <w:semiHidden/>
    <w:uiPriority w:val="99"/>
    <w:rPr>
      <w:rFonts w:ascii="Times" w:hAnsi="Times" w:eastAsia="方正仿宋_GBK" w:cs="Times"/>
      <w:sz w:val="18"/>
      <w:szCs w:val="18"/>
    </w:rPr>
  </w:style>
  <w:style w:type="character" w:customStyle="1" w:styleId="24">
    <w:name w:val="Body Text Indent Char"/>
    <w:basedOn w:val="11"/>
    <w:link w:val="5"/>
    <w:semiHidden/>
    <w:uiPriority w:val="99"/>
    <w:rPr>
      <w:rFonts w:ascii="Times" w:hAnsi="Times" w:eastAsia="方正仿宋_GBK" w:cs="Times"/>
      <w:sz w:val="32"/>
      <w:szCs w:val="32"/>
    </w:rPr>
  </w:style>
  <w:style w:type="character" w:customStyle="1" w:styleId="25">
    <w:name w:val="Body Text Indent 2 Char"/>
    <w:basedOn w:val="11"/>
    <w:link w:val="7"/>
    <w:semiHidden/>
    <w:uiPriority w:val="99"/>
    <w:rPr>
      <w:rFonts w:ascii="Times" w:hAnsi="Times" w:eastAsia="方正仿宋_GBK" w:cs="Times"/>
      <w:sz w:val="32"/>
      <w:szCs w:val="32"/>
    </w:rPr>
  </w:style>
  <w:style w:type="character" w:customStyle="1" w:styleId="26">
    <w:name w:val="Date Char"/>
    <w:basedOn w:val="11"/>
    <w:link w:val="6"/>
    <w:semiHidden/>
    <w:uiPriority w:val="99"/>
    <w:rPr>
      <w:rFonts w:ascii="Times" w:hAnsi="Times" w:eastAsia="方正仿宋_GBK" w:cs="Times"/>
      <w:sz w:val="32"/>
      <w:szCs w:val="32"/>
    </w:rPr>
  </w:style>
  <w:style w:type="character" w:customStyle="1" w:styleId="27">
    <w:name w:val="Body Text Indent 3 Char"/>
    <w:basedOn w:val="11"/>
    <w:link w:val="10"/>
    <w:semiHidden/>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4</Pages>
  <Words>285</Words>
  <Characters>1625</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2016-12-21T06:21:00Z</dcterms:created>
  <dc:creator>admin</dc:creator>
  <cp:lastModifiedBy>user</cp:lastModifiedBy>
  <cp:lastPrinted>2002-07-23T02:37:00Z</cp:lastPrinted>
  <dcterms:modified xsi:type="dcterms:W3CDTF">2017-03-06T07:30:45Z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