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苏州市平安建设条例"/>
      <w:bookmarkEnd w:id="0"/>
      <w:r>
        <w:rPr>
          <w:rFonts w:ascii="方正小标宋简体" w:eastAsia="方正小标宋简体" w:hAnsi="方正小标宋简体" w:cs="方正小标宋简体" w:hint="eastAsia"/>
          <w:color w:val="333333"/>
          <w:sz w:val="44"/>
          <w:szCs w:val="44"/>
          <w:shd w:val="clear" w:color="auto" w:fill="FFFFFF"/>
        </w:rPr>
        <w:t>苏州市平安建设条例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（2022年8月25日苏州市第十七届人民代表大会常务委员会第三次会议通过　2022年9月29日江苏省第十三届人民代表大会常务委员会第三十二次会议批准　根据2025年2月26日苏州市第十七届人民代表大会常务委员会第二十次会议通过，2025年3月27日江苏省第十四届人民代表大会常务委员会第十四次会议批准的《苏州市人民代表大会常务委员会关于修改〈苏州市优化营商环境条例〉等三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风险防范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重点治理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为了有效防范社会风险和化解社会矛盾，构建共建共治共享的社会治理格局，营造和谐稳定的社会环境，根据有关法律、法规，结合本市实际，制定本条例。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本市行政区域内的平安建设及其监督管理活动，适用本条例。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平安建设坚持中国共产党的领导，坚持以人民为中心，贯彻落实总体国家安全观，坚持系统治理、依法治理、综合治理、源头治理，建设更高水平的平安苏州。</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平安建设的主要任务是：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（一）维护国家政治安全；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（二）防范社会风险和调处化解矛盾纠纷；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（三）依法预防和打击各类违法犯罪行为；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（四）建立健全社会治安防控体系；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（五）加强公共安全和应急管理工作；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（六）健全实有人口服务管理机制；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（七）完善基层社会治理机制；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（八）国家和省、市规定的其他平安建设任务。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市、县级市（区）人民政府应当将平安建设工作纳入国民经济和社会发展规划以及年度计划，履行平安建设相关职责，将平安建设工作经费列入本级财政预算。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镇人民政府、街道办事处应当做好辖区内的平安建设工作。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村民委员会、居民委员会应当依法协助做好平安建设相关工作。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市、县级市（区）平安建设组织协调机构统筹推进本行政区域内的平安建设工作，履行下列职责：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（一）宣传和组织实施平安建设相关法律、法规和决议、决定；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（二）制定并组织实施平安建设规划、年度工作计划，研究、解决平安建设重大问题；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（三）指导、督促成员单位落实平安建设领导责任制和目标管理责任制；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（四）建立和实施平安建设考核奖惩制度；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（五）定期向同级党委和上级平安建设组织协调机构报告工作；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（六）协调处理平安建设其他事项。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平安建设组织协调机构下设办公室，负责平安建设组织协调机构的日常工作。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平安建设组织协调机构下设专项工作协调小组，负责专项领域内的平安建设工作。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平安建设组织协调机构应当根据工作需要，确定本行政区域内有关单位作为成员，并实行动态调整。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平安建设组织协调机构的成员单位应当建立健全平安建设工作制度，制定并组织实施年度工作计划，指导、督促、检查、考核本行业、本系统平安建设工作，并按照规定向同级平安建设组织协调机构报告工作。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市、县级市（区）、镇（街道）、村（社区）社会治安综合治理中心，作为整合社会治理资源、创新社会治理方式的重要工作平台，应当按照建设与管理规范进行标准化建设和规范化管理。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市人民政府应当统筹规划社会矛盾纠纷调处化解中心建设。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县级市（区）人民政府和镇人民政府、街道办事处应当加强社会矛盾纠纷调处化解中心建设，对社会矛盾纠纷和群众来访诉求实行集中受理、一站式服务。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社会矛盾纠纷调处化解中心可以通过全市统一的社会矛盾纠纷调处化解平台，对社会矛盾纠纷和群众诉求进行在线受理、流转、办理、反馈和评价。</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平安建设工作实行领导责任制。国家机关主要负责人为本行政区域、本系统或者本单位的平安建设第一责任人，人民团体、企业事业单位和其他社会组织法定代表人或者主要负责人为本单位的平安建设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平安建设工作实行目标管理责任制。平安建设组织协调机构应当根据工作需要，制定平安建设中长期和年度工作目标。成员单位应当根据工作职责，明确工作任务和责任人，落实目标管理责任。</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平安建设组织协调机构及其成员单位应当组织开展“苏城善治”平安文化建设，推进国家安全教育、法治教育和公民道德建设，提高公民的平安文化素养。</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加强与长三角区域其他城市平安建设工作的合作交流，建立健全区域联动协同机制，推进跨区域重大灾害事故和突发公共卫生事件等公共安全领域联防联控，促进区域平安一体化建设。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风险防范"/>
      <w:bookmarkEnd w:id="16"/>
      <w:r>
        <w:rPr>
          <w:rFonts w:ascii="Times New Roman" w:eastAsia="黑体" w:hAnsi="Times New Roman" w:cs="黑体" w:hint="eastAsia"/>
          <w:szCs w:val="32"/>
        </w:rPr>
        <w:t>第二章　风险防范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本市各级人民政府和有关部门应当依法行政，严格执法，优化公共服务，完善社会保障和社会救助制度，预防、减少社会风险。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风险防范工作，建立健全风险研判、决策风险评估、风险防控协同、风险防控责任等机制，加强研判、评估、处置专业队伍建设，完善工作预案，加强日常培训和演练，及时研究解决风险防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平安建设组织协调机构应当定期组织成员单位开展风险防范研判，推进风险采集、专题研判、分流处置、责任追究等工作。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国家机关、人民团体、企业事业单位和其他社会组织应当依法健全完善社会风险隐患排查机制，开展重大决策社会稳定风险评估，及时消除隐患。</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按照有关规定深化网格化社会治理，推进村（社区）党建类、社会治理类、政务服务类等各类网格整合优化，通过发现受理、分流处置、跟踪督办、反馈评价等工作流程，完善信息采集报送、便民服务、矛盾纠纷化解、安全隐患排查、人口服务管理、法治宣传、心理疏导等服务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市（区）人民政府应当科学划分、优化调整网格，编制网格服务管理事项清单，向社会公布并动态调整。县级市（区）人民政府和镇人民政府、街道办事处应当根据网格服务管理事项，编制网格员职责清单，加强网格员队伍建设，建立健全专职网格员等级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公安、司法行政、财政、人力资源和社会保障、市场监督管理、数据（政务服务）等部门和单位应当推进网格化社会治理相关工作，协助开展网格员队伍教育培训。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市、县级市（区）人民政府及其有关部门应当完善社会矛盾纠纷多元预防调处化解综合机制，聚焦源头预防、排查梳理、前端调处、实质解纷、后期修复等重点环节，实施矛盾纠纷全周期管理。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建立完善和解、调解、行政裁决、行政复议、仲裁、中立评估等非诉讼纠纷解决机制，依法统筹协调非诉讼矛盾纠纷解决方式和诉讼之间的对接机制。鼓励引导当事人优先选择非诉讼方式化解矛盾纠纷。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加强“枫桥式村（社区）”建设，发挥法官、检察官、警察、律师、人民调解员等在村（社区）矛盾纠纷化解中的作用，提升基层矛盾纠纷非诉讼化解能力。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中国共产党党员、人大代表、政协委员应当加强与基层的联系，通过社情民意联系日等方式，听取人民群众意见，反映人民群众诉求，推动矛盾纠纷及时有效化解。</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健全信访工作机制，组织各方力量加强矛盾纠纷排查化解，及时妥善处理信访事项，研究解决政策性、群体性信访突出问题和疑难复杂信访问题，依法维护人民群众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信访部门应当畅通和规范人民群众诉求表达、权益保障渠道，引导人民群众依法采用信息网络、书信、电话、传真、走访等形式合理表达诉求，推动信访问题化解在基层。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市、县级市（区）人民政府应当加强街面巡防、社区防控、行业场所管控、单位内部防控、公共交通防控、网络空间管控等立体化、信息化社会治安防控体系建设。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市、县级市（区）人民政府应当健全多部门联合巡防机制，全面整合警务人员、网格员、保安员、志愿者等常态化防控力量，提高社会治安整体防控能力。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建设社会治安防控体系应用平台，完善智慧公安检查站、智慧安防小区、数字门牌、公共交通安保智能防控等技防建设。</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安、交通运输、商务、文化广电和旅游、市场监督管理、地方金融管理、邮政管理等部门，应当健全协同配合机制，依法加强对旅馆业、机动车维修业、娱乐服务业、典当行、快递业、物流业等重点行业以及网约车、网约房、网络餐饮、剧本娱乐、无人驾驶航空器等新业态安全的监督管理工作，落实有关单位、负责人的安全责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托育机构、校外培训机构、医院、公园、大型文化体育场馆（所）、大型商场超市、加油站、车站、港口码头、出入境口岸以及其他治安保卫重点单位，应当按照有关规定和标准，配备安保人员以及物防和技防设施设备，编制突发事件和暴力恐怖活动应急处置预案，定期组织演练，提高防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公安机关应当依法指导并监督检查有关单位内部治安保卫工作，对治安薄弱环节和突出问题提出整改意见，有关单位应当按照要求完成整改。</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应急管理、生态环境、市场监督管理、交通运输、工业和信息化等部门，应当依法加强对枪支弹药、民用爆炸物品、烟花爆竹、管制器具、剧毒、易制爆危险化学品等危险物品安全管理的监督检查工作，对相关违法行为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危险物品的生产、储存、运输、销售、使用、处置等相关单位应当严格执行安全管理制度，并配合有关部门的监督检查。</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应急管理体系和能力建设，健全自然灾害监测预警机制、突发事件应急处置机制，建立应急指挥综合平台和系统，整合应急管理力量，完善应急预案，并定期开展应急处置培训、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建立健全突发事件信息共享联动机制，畅通政府有关部门、专业机构、新闻媒体、社会公众之间信息传递和交流渠道，依法归集使用单位、个人的数据，为紧急救援提供实时数据，全面、准确、及时向社会发布突发事件信息，组织动员全社会参与突发事件的预防处置工作。</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市、县级市（区）人民政府及其有关部门应当建立健全公共卫生应急管理体系，完善疾病预防控制、重大疫情防控救治和应急物资保障等机制，加强公共卫生队伍建设和基层防控能力建设。</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市、县级市（区）人民政府及其有关部门应当建立健全社会心理疏导、危机干预机制，加强社会心理问题排查化解，预防和减少个人极端事件发生。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卫生健康部门应当会同有关部门健全社会心理服务体系，推进社会心理服务指导中心和心理服务平台建设，培育专业心理服务队伍，提供多层次心理健康服务。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本市各级人民政府、教育部门、学校、家庭以及有关社会组织等应当通过心理健康课程、心理品质培育、心理压力疏导、心理咨询辅导等措施，加强青少年生命健康关爱工作，提高青少年心理健康水平。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重点治理"/>
      <w:bookmarkEnd w:id="29"/>
      <w:r>
        <w:rPr>
          <w:rFonts w:ascii="Times New Roman" w:eastAsia="黑体" w:hAnsi="Times New Roman" w:cs="黑体" w:hint="eastAsia"/>
          <w:szCs w:val="32"/>
        </w:rPr>
        <w:t>第三章　重点治理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平安建设组织协调机构应当组织成员单位确定专项领域突出问题排查整治年度工作要点，并协调开展专项治理。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安机关、国家安全机关以及有关部门应当维护意识形态安全，落实意识形态工作责任制，加强阵地建设和管理，防范化解意识形态领域风险；依法管理境外非政府组织境内活动，防范、制止和依法惩治危害国家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国家安全机关应当协调指导和督促检查反间谍安全防范工作，加强国家安全人民防线建设，推动落实反间谍安全防范主体责任，推进基层人民防线工作融入网格化社会治理体系。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公安机关、国家安全机关以及有关部门应当加强反恐怖主义的能力建设，依法取缔恐怖活动组织和严厉惩治暴力恐怖活动，依法开展情报、调查、防范、处置以及资金监管等工作。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宗教事务、公安等部门应当依法保护公民宗教信仰自由，维护正常宗教活动秩序。公安等有关部门应当依法取缔邪教组织，防范、制止和依法惩治邪教违法犯罪活动。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以及有关部门应当加强常态化扫黑除恶工作，依法惩处有组织犯罪、严重暴力犯罪、多发性侵财犯罪等犯罪行为，有效治理涉及电信网络诈骗、养老诈骗、非法集资、黄赌毒、危害食品药品安全、侵权假冒、拐卖妇女儿童等突出违法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公安机关应当对特定时期、特定区域发生的违法犯罪行为开展重点专项打击行动，并根据需要会同有关部门开展联合专项治理。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基础电信企业、金融机构、非银行支付机构、互联网企业等单位应当加强反诈骗风险监测，发现涉嫌违法犯罪信息的，应当及时采取措施，向客户作出风险提示并向公安等有关部门报告。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市、县级市（区）人民政府及其有关部门应当建立健全预防和化解经济安全风险的制度机制，妥善应对国际经贸、产业合作、关键核心技术攻关等方面的风险挑战，切实维护产业链供应链稳定安全。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推进科技安全预警监测体系建设，加强对新一代信息技术、生物医药、高端装备制造、新材料、新能源等战略性新兴产业核心技术的保护。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持续优化营商环境，加强市场监测和监管协调，推进社会信用建设，促进市场主体规范有序发展。</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网信、公安等部门应当加强对网络安全风险防范事项的管理，监督和指导网络运营者落实风险防范责任，严密防范和抑制网上攻击渗透行为，加强网络舆情监测、研判和应对处置工作，构建文明理性的网络环境。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运营者应当落实网络安全等级保护制度，依法履行网络安全保护、身份信息核验、个人信息保护等安全管理义务。发现法律、法规等禁止发布或者传输的信息的，网络运营者应当立即停止传输，采取消除等处置措施，防止信息扩散，保存有关记录，并向有关部门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建立健全金融风险防范和处置工作机制，防范和化解各类金融风险，依法处置非法集资等非法金融活动，开展金融法律、法规以及相关知识的宣传教育，提高公众对金融风险的防范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金融管理部门应当会同网信、公安等部门建立健全金融风险监测防控体系，运用大数据等现代信息技术手段，加强对金融风险的监测和预警。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金融机构、非银行支付机构应当加强对非法金融活动的监测，及时向金融管理部门报告发现的线索。在经营活动中发现金融消费者可能涉及非法金融活动的，应当依法履行风险提示义务。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加强安全生产基础设施建设和安全生产监管能力建设。应急管理部门和对有关行业、领域的安全生产工作实施监督管理的部门，应当相互配合、齐抓共管、信息共享、资源共用，依法加强安全生产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应当建立健全全员安全生产责任制和安全生产规章制度，构建安全风险分级管控和隐患排查治理双重预防机制，对生产经营场所和有危险物品的建筑物、构筑物及其周边环境开展隐患排查，及时采取措施管控风险和消除隐患。</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大型群众性活动的主办者、承办者依法负责承办活动的安全，大型群众性活动的场所管理者依法负责活动场所以及设施的安全。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开展大型群众性活动的安全管理。对经安全许可的大型群众性活动，公安机关应当根据安全需要组织相应警力，维持活动现场周边的治安、交通秩序，预防和处置突发治安事件，查处违法犯罪活动。</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公安、住房和城乡建设、消防等部门和机构应当按照职责分工，做好出租房屋的治安管理、居住登记、租赁管理、消防等工作。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协助做好出租房屋相关信息的采集工作，发现物业服务区域内存在违反出租房屋安全管理行为的，应当及时采取合理措施予以制止，向公安、住房和城乡建设、消防等部门和机构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出租人应当依法申报出租房屋信息，督促承租人及时排除安全隐患，发现承租人涉嫌违法犯罪的，及时向公安机关或者有关部门报告。</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市（区）人民政府应当建立健全对严重精神障碍患者的服务管理工作机制，强化信息互通，完善危机干预、帮扶救助等心理健康服务。镇人民政府、街道办事处应当提供心理辅导服务和危机干预服务，建立严重精神障碍患者专门服务小组和应急处置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司法行政部门主管本行政区域内的社区矫正工作。社区矫正机构应当加强对社区矫正对象的监督管理、教育帮扶，采取就业培训、安置帮教等措施，帮助刑满释放人员回归正常生活。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公安、卫生健康等部门应当按照职责分工，加强对吸毒人员的管理，依法开展强制隔离戒毒，并对社区戒毒、社区康复工作提供指导和支持。镇人民政府、街道办事处应当依法开展社区戒毒和社区康复工作。</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本市各级人民政府、教育部门、学校、家庭以及有关社会组织等，应当结合未成年人不同年龄的生理、心理特点，采取多种方式对未成年人开展预防犯罪教育，使未成年人树立遵纪守法和防范违法犯罪的意识。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教育、民政、卫生健康等部门以及共产主义青年团、妇女联合会，应当建立健全沟通协调机制，依法对未成年人及其家庭开展必要的家庭教育指导和关爱、救助、帮扶等工作。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人民法院、人民检察院、公安机关、司法行政部门应当健全完善侵害未成年人案件强制报告、一站式办案救助机制，加强未成年人案件办理的专业化队伍建设。</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安、教育、民政、司法行政、人力资源和社会保障、住房和城乡建设、卫生健康、医疗保障等部门，应当按照职责分工做好流动人口的治安管理、子女入学、社会救助、法律援助、劳动就业、住房保障、医疗保障、信息采集和居住证申领等服务管理工作，依法保障流动人口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社会参与"/>
      <w:bookmarkEnd w:id="42"/>
      <w:r>
        <w:rPr>
          <w:rFonts w:ascii="Times New Roman" w:eastAsia="黑体" w:hAnsi="Times New Roman" w:cs="黑体" w:hint="eastAsia"/>
          <w:szCs w:val="32"/>
        </w:rPr>
        <w:t>第四章　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鼓励和支持村民委员会、居民委员会建立健全平安建设联防联控工作制度，推动将平安建设相关规定纳入村规民约、居民公约。</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民团体应当在各自工作范围内做好平安建设工作。工会应当推动建立健全企业集体协商机制，构建和谐劳动关系。共产主义青年团应当动员引导团员青年参与平安建设。妇女联合会应当加强家庭家教家风建设引导，推动妇女儿童参与平安建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建立健全政府向社会组织购买服务机制。鼓励支持符合条件的社会组织参与社区治理、矛盾调处、纠纷化解、社区禁毒、社区矫正、困难救助、心理疏导等平安建设工作。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行业协会、商会应当督促、引导会员参与平安建设工作，协助有关部门建立行业公共安全风险评估、化解机制，防范化解行业风险。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各类市场主体应当主动参与平安建设，履行社会责任。</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鼓励和支持业主大会、业主委员会参与平安建设活动，化解邻里矛盾纠纷、参与社会治理。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物业服务企业采用新技术、新方法提高物业服务管理水平，推进智慧安防小区建设。物业服务企业应当依照物业服务合同履行安全管理和服务职责，协助做好服务管理区域内的秩序维护、社区治理和公益宣传等平安建设工作。</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鼓励和支持志愿服务组织和志愿者参与平安建设。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平安建设组织协调机构应当组织有关部门建立志愿服务组织和志愿者参与平安建设工作的机制和渠道，加强对志愿者的组织、指导、培训和保护，为志愿服务提供保障。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健全完善有事好商量等多方议事协商机制，开展基层援法议事等活动，广泛听取意见建议并及时反馈采纳情况。</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公民应当遵守法律和社会公德，增进家庭和邻里关系和谐，增强自我防护意识，提高安全防范能力。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任何单位和个人都有维护社会安全的责任，有权对危害社会安全的行为进行举报。对严重违法违规行为或者重大风险隐患的举报，经调查属实的，依法给予奖励。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对为了维护国家利益、社会公共利益或者保护他人的人身、财产安全，有制止违法犯罪、协助有关机关惩治违法犯罪活动等见义勇为行为的人员，应当按照有关规定予以保护和奖励。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监督保障"/>
      <w:bookmarkEnd w:id="50"/>
      <w:r>
        <w:rPr>
          <w:rFonts w:ascii="Times New Roman" w:eastAsia="黑体" w:hAnsi="Times New Roman" w:cs="黑体" w:hint="eastAsia"/>
          <w:szCs w:val="32"/>
        </w:rPr>
        <w:t>第五章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代表大会常务委员会通过听取和审议专项工作报告、组织执法检查、规范性文件备案审查、开展专题询问等方式，加强对平安建设工作的监督。镇人民代表大会主席团在镇人民代表大会闭会期间，可以通过安排代表听取和讨论专项工作报告、开展执法检查，组织代表视察、调研等方式，对平安建设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有关单位开展平安建设活动应当自觉接受人民政协的民主监督，听取政协委员、民主党派、工商联、无党派人士和各人民团体的意见；主动接受新闻媒体的舆论监督和公众的社会监督。</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平安建设组织协调机构应当按照有关规定开展平安建设宣传教育，将平安建设相关的法律、法规、典型案例等内容纳入法治宣传教育工作。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报刊、广播、电视、网络等媒体单位应当加强对平安建设工作的宣传，报道平安建设工作中的先进事迹、典型经验，曝光反面典型案例。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学校、家庭应当对青少年开展平安建设宣传教育。学校应当将平安建设纳入教学内容，并引入社会力量丰富平安建设宣传教育实践。</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深化公共法律服务体系建设，整合律师、公证、司法鉴定、仲裁、人民调解、法律援助等法律服务资源，通过公共法律服务中心提供综合性、一站式公共法律服务，为平安建设提供法律服务保障。</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本市各级人民政府应当将平安建设数字化纳入数字政府建设规划，建设、运行市域社会治理现代化指挥平台，建立健全跨部门、跨区域、常态化的信息资源共享机制。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应当组织有关部门推进互联网、物联网、大数据、人工智能、区块链等在平安建设工作中的应用，健全完善大数据辅助平安建设决策机制，有效支撑社会需求预测、社会发展预判和社会风险预警。</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市平安建设组织协调机构应当对县级市（区）人民政府、有关部门和单位平安建设目标管理责任制的落实情况进行监督、检查和考核。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安建设组织协调机构在实施平安建设目标管理责任制考核时，可以委托第三方机构进行公众安全感、治安满意度等平安建设指标民意调查。公安机关可以组织对有关责任单位防范工作进行技术评价，作为平安建设考核依据。</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平安建设组织协调机构在监督检查中发现有下列情形之一的，应当按照规定采取通报、约谈、督办等形式进行督导，督促被监督检查单位限期整改：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（一）不重视平安建设，相关工作措施落实不力，基层基础工作薄弱，区域以及系统或者行业内重大安全隐患整改不力，社会矛盾纠纷比较突出的；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（二）在较短时间内连续发生重大刑事案件或者群体性事件、公共安全事件的；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（三）平安建设工作考核评价不合格、不达标的；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（四）对公众反映强烈的社会治安和公共安全问题没有及时采取有效应对措施的；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（五）其他需要督促整改的情形。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被监督检查单位应当立即采取措施进行整改。整改情况应当纳入工作评议、考核记录，作为考核依据。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国家机关、人民团体、企业事业单位和其他社会组织及其工作人员拒不履行平安建设工作职责或者在平安建设工作中玩忽职守、滥用职权、徇私舞弊的，依法给予处分；构成犯罪的，依法追究刑事责任。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附则"/>
      <w:bookmarkEnd w:id="5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