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2EF0BCC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连云港市人民代表大会常务委员会关于修改《连云港市优化营商环境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连云港市人民代表大会常务委员会关于修改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《连云港市优化营商环境条例》</w:t>
      </w:r>
      <w:bookmarkStart w:id="4" w:name="_GoBack"/>
      <w:bookmarkEnd w:id="4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的决定</w:t>
      </w:r>
    </w:p>
    <w:p w14:paraId="78FD045D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（2025年2月27日连云港市第十五届人民代表大会常务委员会第二十五次会议通过　2025年3月27日江苏省第十四届人民代表大会常务委员会第十四次会议批准）</w:t>
      </w:r>
    </w:p>
    <w:p w14:paraId="5494F12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连云港市第十五届人民代表大会常务委员会第二十五次会议决定对《连云港市优化营商环境条例》作如下修改：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将第九条修改为：“优化民营经济发展环境，依法保护民营企业产权和企业家合法权益，推动各种所有制经济依法平等使用生产要素、公平参与市场竞争、同等受到法律保护，促进民营经济做大做优做强。”</w:t>
      </w:r>
    </w:p>
    <w:p w14:paraId="5E2236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十二条修改为：“司法机关在办理涉企案件时，应当严格区分经济犯罪与民商事纠纷界限，不得将民商事纠纷作为经济犯罪处理。依法对企业的法定代表人、主要负责人、核心技术骨干等人员采取强制措施的，尽量减少对企业正常经营活动的不利影响。</w:t>
      </w:r>
    </w:p>
    <w:p w14:paraId="69B8E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“完善执行联动机制，相关部门、企事业单位应当依法配合人民法院查询市场主体的身份、财产、交易、联系方式等信息，支持人民法院实施网络查控和处置，切实解决执行难。”</w:t>
      </w:r>
    </w:p>
    <w:p w14:paraId="5E4C14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本决定自2025年4月1日起施行。</w:t>
      </w:r>
    </w:p>
    <w:p w14:paraId="26557D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《连云港市优化营商环境条例》根据本决定作相应修改，重新公布。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2010600010101010101"/>
    <w:charset w:val="86"/>
    <w:family w:val="script"/>
    <w:pitch w:val="default"/>
    <w:sig w:usb0="00000001" w:usb1="080E0000" w:usb2="00000000" w:usb3="00000000" w:csb0="00040000" w:csb1="00000000"/>
  </w:font>
  <w:font w:name="ˎ̥">
    <w:altName w:val="幼圆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6B03429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0FF2FF1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3773BC7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485</Words>
  <Characters>496</Characters>
  <Lines>87</Lines>
  <Paragraphs>24</Paragraphs>
  <TotalTime>3</TotalTime>
  <ScaleCrop>false</ScaleCrop>
  <LinksUpToDate>false</LinksUpToDate>
  <CharactersWithSpaces>497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2025-05-13T09:44:10Z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ACEFD8517EF74012933EC089A9073E4E_13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