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600" w:lineRule="exact"/>
        <w:jc w:val="center"/>
        <w:rPr>
          <w:rFonts w:hint="eastAsia" w:ascii="仿宋_GB2312" w:hAnsi="宋体" w:eastAsia="仿宋_GB2312" w:cs="宋体"/>
          <w:sz w:val="32"/>
          <w:szCs w:val="32"/>
        </w:rPr>
      </w:pPr>
    </w:p>
    <w:p>
      <w:pPr>
        <w:spacing w:line="600" w:lineRule="exact"/>
        <w:jc w:val="center"/>
        <w:rPr>
          <w:rFonts w:hint="eastAsia" w:ascii="仿宋_GB2312" w:hAnsi="宋体" w:eastAsia="仿宋_GB2312" w:cs="宋体"/>
          <w:sz w:val="32"/>
          <w:szCs w:val="32"/>
        </w:rPr>
      </w:pPr>
    </w:p>
    <w:p>
      <w:pPr>
        <w:spacing w:line="600" w:lineRule="exact"/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江西省人民代表大会常务委员会关于</w:t>
      </w:r>
    </w:p>
    <w:p>
      <w:pPr>
        <w:spacing w:line="600" w:lineRule="exact"/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政府规章设定罚款限额的规定</w:t>
      </w:r>
    </w:p>
    <w:p>
      <w:pPr>
        <w:spacing w:line="600" w:lineRule="exact"/>
        <w:rPr>
          <w:rFonts w:hint="eastAsia" w:ascii="仿宋_GB2312" w:hAnsi="仿宋" w:eastAsia="仿宋_GB2312" w:cs="仿宋"/>
          <w:sz w:val="32"/>
          <w:szCs w:val="32"/>
        </w:rPr>
      </w:pPr>
    </w:p>
    <w:p>
      <w:pPr>
        <w:widowControl w:val="0"/>
        <w:wordWrap/>
        <w:adjustRightInd/>
        <w:snapToGrid/>
        <w:spacing w:before="0" w:beforeLines="0" w:after="0" w:afterLines="0" w:line="400" w:lineRule="exact"/>
        <w:ind w:left="0" w:leftChars="0" w:right="0" w:firstLine="0" w:firstLineChars="0"/>
        <w:jc w:val="both"/>
        <w:textAlignment w:val="auto"/>
        <w:outlineLvl w:val="9"/>
        <w:rPr>
          <w:rFonts w:hint="eastAsia" w:ascii="楷体_GB2312" w:hAnsi="仿宋" w:eastAsia="楷体_GB2312" w:cs="仿宋"/>
          <w:sz w:val="32"/>
          <w:szCs w:val="32"/>
          <w:lang w:val="en-US" w:eastAsia="zh-CN"/>
        </w:rPr>
      </w:pPr>
      <w:r>
        <w:rPr>
          <w:rFonts w:hint="eastAsia" w:ascii="楷体_GB2312" w:hAnsi="仿宋" w:eastAsia="楷体_GB2312" w:cs="仿宋"/>
          <w:sz w:val="32"/>
          <w:szCs w:val="32"/>
          <w:lang w:val="en-US" w:eastAsia="zh-CN"/>
        </w:rPr>
        <w:t xml:space="preserve">（1996年10月19日江西省第八届人民代表大会常务委员会第二十四次会议通过  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2018年7月27日江西省第十三届人民代表大会常务委员会第四次会议修正</w:t>
      </w:r>
      <w:r>
        <w:rPr>
          <w:rFonts w:hint="eastAsia" w:ascii="楷体_GB2312" w:hAnsi="仿宋" w:eastAsia="楷体_GB2312" w:cs="仿宋"/>
          <w:sz w:val="32"/>
          <w:szCs w:val="32"/>
          <w:lang w:val="en-US" w:eastAsia="zh-CN"/>
        </w:rPr>
        <w:t>）</w:t>
      </w:r>
      <w:bookmarkStart w:id="0" w:name="_GoBack"/>
      <w:bookmarkEnd w:id="0"/>
    </w:p>
    <w:p>
      <w:pPr>
        <w:spacing w:line="600" w:lineRule="exact"/>
        <w:rPr>
          <w:rFonts w:hint="eastAsia" w:ascii="楷体_GB2312" w:hAnsi="仿宋" w:eastAsia="楷体_GB2312" w:cs="仿宋"/>
          <w:sz w:val="32"/>
          <w:szCs w:val="32"/>
        </w:rPr>
      </w:pPr>
    </w:p>
    <w:p>
      <w:pPr>
        <w:spacing w:line="600" w:lineRule="exact"/>
        <w:ind w:firstLine="640" w:firstLineChars="200"/>
        <w:rPr>
          <w:rFonts w:hint="eastAsia" w:ascii="仿宋_GB2312" w:hAnsi="仿宋" w:eastAsia="仿宋_GB2312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第一条 </w:t>
      </w:r>
      <w:r>
        <w:rPr>
          <w:rFonts w:hint="eastAsia" w:ascii="仿宋_GB2312" w:hAnsi="黑体" w:eastAsia="仿宋_GB2312" w:cs="黑体"/>
          <w:sz w:val="32"/>
          <w:szCs w:val="32"/>
        </w:rPr>
        <w:t xml:space="preserve"> </w:t>
      </w:r>
      <w:r>
        <w:rPr>
          <w:rFonts w:hint="eastAsia" w:ascii="仿宋_GB2312" w:hAnsi="仿宋" w:eastAsia="仿宋_GB2312" w:cs="仿宋"/>
          <w:sz w:val="32"/>
          <w:szCs w:val="32"/>
        </w:rPr>
        <w:t>根据《中华人民共和国行政处罚法》第十三条规定，结合本省实际，制定本规定。</w:t>
      </w:r>
    </w:p>
    <w:p>
      <w:pPr>
        <w:spacing w:line="600" w:lineRule="exact"/>
        <w:ind w:firstLine="640" w:firstLineChars="200"/>
        <w:rPr>
          <w:rFonts w:hint="eastAsia" w:ascii="仿宋_GB2312" w:hAnsi="仿宋" w:eastAsia="仿宋_GB2312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第二条 </w:t>
      </w:r>
      <w:r>
        <w:rPr>
          <w:rFonts w:hint="eastAsia" w:ascii="仿宋_GB2312" w:hAnsi="仿宋" w:eastAsia="仿宋_GB2312" w:cs="仿宋"/>
          <w:sz w:val="32"/>
          <w:szCs w:val="32"/>
        </w:rPr>
        <w:t xml:space="preserve"> 江西省人民政府和</w:t>
      </w:r>
      <w:r>
        <w:rPr>
          <w:rFonts w:hint="eastAsia" w:ascii="仿宋_GB2312" w:hAnsi="仿宋" w:eastAsia="仿宋_GB2312" w:cs="仿宋"/>
          <w:sz w:val="32"/>
          <w:szCs w:val="32"/>
          <w:lang w:eastAsia="zh-CN"/>
        </w:rPr>
        <w:t>设区的</w:t>
      </w:r>
      <w:r>
        <w:rPr>
          <w:rFonts w:hint="eastAsia" w:ascii="仿宋_GB2312" w:hAnsi="仿宋" w:eastAsia="仿宋_GB2312" w:cs="仿宋"/>
          <w:sz w:val="32"/>
          <w:szCs w:val="32"/>
        </w:rPr>
        <w:t>市人民政府制定规章（以下简称政府规章）可以在法律、行政法规或者地方性法规规定的给予行政处罚的行为、种类和幅度的范围内作出具体规定；尚未制定法律、行政法规或者地方性法规的，政府规章对违反行政管理秩序的行为，可以设定警告或者一定数量罚款的行政处罚。</w:t>
      </w:r>
    </w:p>
    <w:p>
      <w:pPr>
        <w:spacing w:line="600" w:lineRule="exact"/>
        <w:ind w:firstLine="640" w:firstLineChars="200"/>
        <w:rPr>
          <w:rFonts w:hint="eastAsia" w:ascii="仿宋_GB2312" w:hAnsi="仿宋" w:eastAsia="仿宋_GB2312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第三条</w:t>
      </w:r>
      <w:r>
        <w:rPr>
          <w:rFonts w:hint="eastAsia" w:ascii="黑体" w:hAnsi="仿宋" w:eastAsia="黑体" w:cs="仿宋"/>
          <w:sz w:val="32"/>
          <w:szCs w:val="32"/>
        </w:rPr>
        <w:t xml:space="preserve"> </w:t>
      </w:r>
      <w:r>
        <w:rPr>
          <w:rFonts w:hint="eastAsia" w:ascii="仿宋_GB2312" w:hAnsi="仿宋" w:eastAsia="仿宋_GB2312" w:cs="仿宋"/>
          <w:sz w:val="32"/>
          <w:szCs w:val="32"/>
        </w:rPr>
        <w:t xml:space="preserve"> 政府规章设定罚款限额按下列规定执行：</w:t>
      </w:r>
    </w:p>
    <w:p>
      <w:pPr>
        <w:spacing w:line="600" w:lineRule="exact"/>
        <w:rPr>
          <w:rFonts w:hint="eastAsia" w:ascii="仿宋_GB2312" w:hAnsi="仿宋" w:eastAsia="仿宋_GB2312" w:cs="仿宋"/>
          <w:sz w:val="32"/>
          <w:szCs w:val="32"/>
        </w:rPr>
      </w:pPr>
      <w:r>
        <w:rPr>
          <w:rFonts w:hint="eastAsia" w:ascii="仿宋_GB2312" w:hAnsi="仿宋" w:eastAsia="仿宋_GB2312" w:cs="仿宋"/>
          <w:sz w:val="32"/>
          <w:szCs w:val="32"/>
        </w:rPr>
        <w:t xml:space="preserve">    （一）</w:t>
      </w:r>
      <w:r>
        <w:rPr>
          <w:rFonts w:hint="eastAsia" w:ascii="仿宋_GB2312" w:hAnsi="仿宋_GB2312" w:eastAsia="仿宋_GB2312" w:cs="仿宋_GB2312"/>
          <w:sz w:val="32"/>
          <w:szCs w:val="32"/>
        </w:rPr>
        <w:t>对公民违反行政管理秩序的行为，设定罚款不超过五百元，但对直接关系人身健康、生命财产安全以及直接涉及国家安全、生态环境保护、历史文化保护、有限自然资源开发利用方面的违反行政管理秩序的行为，从事经营活动的，设定罚款不超过五万元；非经营活动的，设定罚款不超过三万元</w:t>
      </w:r>
      <w:r>
        <w:rPr>
          <w:rFonts w:hint="eastAsia" w:ascii="仿宋_GB2312" w:hAnsi="仿宋" w:eastAsia="仿宋_GB2312" w:cs="仿宋"/>
          <w:sz w:val="32"/>
          <w:szCs w:val="32"/>
        </w:rPr>
        <w:t>。</w:t>
      </w:r>
    </w:p>
    <w:p>
      <w:pPr>
        <w:spacing w:line="600" w:lineRule="exact"/>
        <w:rPr>
          <w:rFonts w:hint="eastAsia" w:ascii="仿宋_GB2312" w:hAnsi="仿宋" w:eastAsia="仿宋_GB2312" w:cs="仿宋"/>
          <w:sz w:val="32"/>
          <w:szCs w:val="32"/>
        </w:rPr>
      </w:pPr>
      <w:r>
        <w:rPr>
          <w:rFonts w:hint="eastAsia" w:ascii="仿宋_GB2312" w:hAnsi="仿宋" w:eastAsia="仿宋_GB2312" w:cs="仿宋"/>
          <w:sz w:val="32"/>
          <w:szCs w:val="32"/>
        </w:rPr>
        <w:t xml:space="preserve">    （二）</w:t>
      </w:r>
      <w:r>
        <w:rPr>
          <w:rFonts w:hint="eastAsia" w:ascii="仿宋_GB2312" w:hAnsi="仿宋_GB2312" w:eastAsia="仿宋_GB2312" w:cs="仿宋_GB2312"/>
          <w:sz w:val="32"/>
          <w:szCs w:val="32"/>
        </w:rPr>
        <w:t>对法人或者其他组织违反行政管理秩序的行为，设定罚款不超过三万元，但对直接关系人身健康、生命财产安全以及直接涉及国家安全、生态环境保护、历史文化保护、有限自然资源开发利用方面的违反行政管理秩序的行为，从事经营活动的，设定罚款不超过二十万元；非经营活动的，设定罚款不超过十万元</w:t>
      </w:r>
      <w:r>
        <w:rPr>
          <w:rFonts w:hint="eastAsia" w:ascii="仿宋_GB2312" w:hAnsi="仿宋" w:eastAsia="仿宋_GB2312" w:cs="仿宋"/>
          <w:sz w:val="32"/>
          <w:szCs w:val="32"/>
        </w:rPr>
        <w:t>。</w:t>
      </w:r>
    </w:p>
    <w:p>
      <w:pPr>
        <w:spacing w:line="600" w:lineRule="exact"/>
        <w:ind w:firstLine="640" w:firstLineChars="200"/>
        <w:rPr>
          <w:rFonts w:hint="eastAsia" w:ascii="黑体" w:hAnsi="仿宋" w:eastAsia="黑体" w:cs="黑体"/>
          <w:sz w:val="32"/>
          <w:szCs w:val="32"/>
        </w:rPr>
      </w:pPr>
      <w:r>
        <w:rPr>
          <w:rFonts w:hint="eastAsia" w:ascii="黑体" w:hAnsi="仿宋" w:eastAsia="黑体" w:cs="黑体"/>
          <w:sz w:val="32"/>
          <w:szCs w:val="32"/>
        </w:rPr>
        <w:t xml:space="preserve">第四条 </w:t>
      </w:r>
      <w:r>
        <w:rPr>
          <w:rFonts w:hint="eastAsia" w:ascii="仿宋_GB2312" w:hAnsi="仿宋" w:eastAsia="仿宋_GB2312" w:cs="黑体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设定罚款应当依据过罚相当原则,在罚款限额内,根据违反行政管理秩序行为的事实、性质、情节以及社会危害程度,对公民、法人和其他组织违反行政管理秩序的行为设定不同幅度的罚款。</w:t>
      </w:r>
    </w:p>
    <w:p>
      <w:pPr>
        <w:spacing w:line="600" w:lineRule="exact"/>
        <w:ind w:firstLine="640" w:firstLineChars="200"/>
        <w:rPr>
          <w:rFonts w:hint="eastAsia" w:ascii="仿宋_GB2312" w:hAnsi="仿宋" w:eastAsia="仿宋_GB2312" w:cs="仿宋"/>
          <w:sz w:val="32"/>
          <w:szCs w:val="32"/>
        </w:rPr>
      </w:pPr>
      <w:r>
        <w:rPr>
          <w:rFonts w:hint="eastAsia" w:ascii="黑体" w:hAnsi="仿宋" w:eastAsia="黑体" w:cs="黑体"/>
          <w:sz w:val="32"/>
          <w:szCs w:val="32"/>
        </w:rPr>
        <w:t>第</w:t>
      </w:r>
      <w:r>
        <w:rPr>
          <w:rFonts w:hint="eastAsia" w:ascii="黑体" w:hAnsi="仿宋" w:eastAsia="黑体" w:cs="黑体"/>
          <w:sz w:val="32"/>
          <w:szCs w:val="32"/>
          <w:lang w:eastAsia="zh-CN"/>
        </w:rPr>
        <w:t>五</w:t>
      </w:r>
      <w:r>
        <w:rPr>
          <w:rFonts w:hint="eastAsia" w:ascii="黑体" w:hAnsi="仿宋" w:eastAsia="黑体" w:cs="黑体"/>
          <w:sz w:val="32"/>
          <w:szCs w:val="32"/>
        </w:rPr>
        <w:t xml:space="preserve">条 </w:t>
      </w:r>
      <w:r>
        <w:rPr>
          <w:rFonts w:hint="eastAsia" w:ascii="仿宋_GB2312" w:hAnsi="仿宋" w:eastAsia="仿宋_GB2312" w:cs="黑体"/>
          <w:sz w:val="32"/>
          <w:szCs w:val="32"/>
        </w:rPr>
        <w:t xml:space="preserve"> </w:t>
      </w:r>
      <w:r>
        <w:rPr>
          <w:rFonts w:hint="eastAsia" w:ascii="仿宋_GB2312" w:hAnsi="仿宋" w:eastAsia="仿宋_GB2312" w:cs="仿宋"/>
          <w:sz w:val="32"/>
          <w:szCs w:val="32"/>
        </w:rPr>
        <w:t>本规定自公布之日起施行。</w:t>
      </w:r>
    </w:p>
    <w:p>
      <w:pPr>
        <w:spacing w:line="60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仿宋" w:eastAsia="仿宋_GB2312" w:cs="仿宋"/>
          <w:sz w:val="32"/>
          <w:szCs w:val="32"/>
        </w:rPr>
        <w:t xml:space="preserve">    </w:t>
      </w:r>
    </w:p>
    <w:sectPr>
      <w:footerReference r:id="rId4" w:type="default"/>
      <w:footerReference r:id="rId5" w:type="even"/>
      <w:pgSz w:w="11907" w:h="16840"/>
      <w:pgMar w:top="2041" w:right="1502" w:bottom="1587" w:left="1531" w:header="851" w:footer="992" w:gutter="0"/>
      <w:pgNumType w:fmt="numberInDash"/>
      <w:cols w:space="72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framePr w:wrap="around" w:vAnchor="text" w:hAnchor="margin" w:xAlign="outside" w:y="1"/>
      <w:rPr>
        <w:rStyle w:val="5"/>
        <w:rFonts w:ascii="Times New Roman" w:hAnsi="Times New Roman"/>
        <w:sz w:val="28"/>
        <w:szCs w:val="28"/>
      </w:rPr>
    </w:pPr>
    <w:r>
      <w:rPr>
        <w:rStyle w:val="5"/>
        <w:rFonts w:ascii="Times New Roman" w:hAnsi="Times New Roman"/>
        <w:sz w:val="28"/>
        <w:szCs w:val="28"/>
      </w:rPr>
      <w:fldChar w:fldCharType="begin"/>
    </w:r>
    <w:r>
      <w:rPr>
        <w:rStyle w:val="5"/>
        <w:rFonts w:ascii="Times New Roman" w:hAnsi="Times New Roman"/>
        <w:sz w:val="28"/>
        <w:szCs w:val="28"/>
      </w:rPr>
      <w:instrText xml:space="preserve">PAGE  </w:instrText>
    </w:r>
    <w:r>
      <w:rPr>
        <w:rStyle w:val="5"/>
        <w:rFonts w:ascii="Times New Roman" w:hAnsi="Times New Roman"/>
        <w:sz w:val="28"/>
        <w:szCs w:val="28"/>
      </w:rPr>
      <w:fldChar w:fldCharType="separate"/>
    </w:r>
    <w:r>
      <w:rPr>
        <w:rStyle w:val="5"/>
        <w:rFonts w:ascii="Times New Roman" w:hAnsi="Times New Roman"/>
        <w:sz w:val="28"/>
        <w:szCs w:val="28"/>
      </w:rPr>
      <w:t>- 1 -</w:t>
    </w:r>
    <w:r>
      <w:rPr>
        <w:rStyle w:val="5"/>
        <w:rFonts w:ascii="Times New Roman" w:hAnsi="Times New Roman"/>
        <w:sz w:val="28"/>
        <w:szCs w:val="28"/>
      </w:rPr>
      <w:fldChar w:fldCharType="end"/>
    </w:r>
  </w:p>
  <w:p>
    <w:pPr>
      <w:pStyle w:val="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framePr w:wrap="around" w:vAnchor="text" w:hAnchor="margin" w:xAlign="outside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174F7"/>
    <w:rsid w:val="0007657F"/>
    <w:rsid w:val="0028309A"/>
    <w:rsid w:val="002B39E4"/>
    <w:rsid w:val="002E65A5"/>
    <w:rsid w:val="003C4109"/>
    <w:rsid w:val="00447283"/>
    <w:rsid w:val="0045088D"/>
    <w:rsid w:val="004B33FD"/>
    <w:rsid w:val="005D3D34"/>
    <w:rsid w:val="006D5D2E"/>
    <w:rsid w:val="007B5FF7"/>
    <w:rsid w:val="00856465"/>
    <w:rsid w:val="00893D5A"/>
    <w:rsid w:val="00AD073B"/>
    <w:rsid w:val="00AD46CA"/>
    <w:rsid w:val="00B41952"/>
    <w:rsid w:val="00BD2C8C"/>
    <w:rsid w:val="00C174F7"/>
    <w:rsid w:val="00D4474D"/>
    <w:rsid w:val="00D911BF"/>
    <w:rsid w:val="00E437DF"/>
    <w:rsid w:val="00EC2465"/>
    <w:rsid w:val="00F15412"/>
    <w:rsid w:val="00F25A98"/>
    <w:rsid w:val="00FA3F8A"/>
    <w:rsid w:val="00FE4C48"/>
    <w:rsid w:val="06143ECB"/>
    <w:rsid w:val="0B7A2179"/>
    <w:rsid w:val="0BDA3497"/>
    <w:rsid w:val="10DC28B8"/>
    <w:rsid w:val="168F7C28"/>
    <w:rsid w:val="21623969"/>
    <w:rsid w:val="379C10FD"/>
    <w:rsid w:val="37B336EE"/>
    <w:rsid w:val="39A74B10"/>
    <w:rsid w:val="3EDD237D"/>
    <w:rsid w:val="489D3BD4"/>
    <w:rsid w:val="5FD0278B"/>
    <w:rsid w:val="77E825E5"/>
    <w:rsid w:val="7C9725F4"/>
    <w:rsid w:val="7D7F3BFF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99"/>
    <w:rPr>
      <w:rFonts w:cs="Times New Roman"/>
    </w:rPr>
  </w:style>
  <w:style w:type="paragraph" w:customStyle="1" w:styleId="7">
    <w:name w:val="List Paragraph"/>
    <w:basedOn w:val="1"/>
    <w:unhideWhenUsed/>
    <w:uiPriority w:val="99"/>
    <w:pPr>
      <w:ind w:firstLine="420" w:firstLineChars="200"/>
    </w:p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4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wwq</Company>
  <Pages>2</Pages>
  <Words>76</Words>
  <Characters>436</Characters>
  <Lines>3</Lines>
  <Paragraphs>1</Paragraphs>
  <ScaleCrop>false</ScaleCrop>
  <LinksUpToDate>false</LinksUpToDate>
  <CharactersWithSpaces>0</CharactersWithSpaces>
  <Application>WPS Office 专业版_9.1.0.4798_{F1E327BC-269C-435d-A152-05C5408002CA}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2016-11-12T09:35:00Z</dcterms:created>
  <dc:creator>zj</dc:creator>
  <cp:lastModifiedBy>万强</cp:lastModifiedBy>
  <cp:lastPrinted>2016-10-31T04:09:00Z</cp:lastPrinted>
  <dcterms:modified xsi:type="dcterms:W3CDTF">2018-07-30T09:23:38Z</dcterms:modified>
  <dc:title>江西省抗旱条例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2052-9.1.0.4798</vt:lpwstr>
  </property>
</Properties>
</file>