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江西省龙虎山和龟峰风景名胜区条例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（2008年9月27日江西省第十一届人民代表大会常务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委员会第五次会议通过）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利用和管理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为了加强对龙虎山风景名胜区和龟峰风景名胜区（统称龙虎山和龟峰风景名胜区）的管理，有效保护和合理利用风景名胜资源，根据国务院《风景名胜区条例》和其他有关法律、行政法规的规定，制定本条例。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龙虎山和龟峰风景名胜区的规划、保护、利用和管理，适用本条例。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龙虎山和龟峰风景名胜区及其外围保护地带的范围，按照国务院批准的《龙虎山风景名胜区总体规划》和《龟峰风景名胜区总体规划》确定的界线坐标划定。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龙虎山和龟峰风景名胜区的保护、利用和管理，应当遵循科学规划、统一管理、严格保护、永续利用的原则，实现生态效益、社会效益和经济效益相统一。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风景名胜区管理委员会（以下简称龙虎山管委会）和龟峰风景名胜区管理委员会（以下简称龟峰管委会）分别是鹰潭市人民政府和上饶市人民政府设置的派出机构，负责各自风景名胜区的保护、利用和统一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龙虎山管委会和龟峰管委会的主要职责是：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（一）宣传、贯彻有关风景名胜区保护和管理的法律、法规和规章；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（二）参与制定并组织实施风景名胜区规划；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（三）制定并组织实施风景名胜区的具体保护和管理制度；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（四）组织调查、评价和登记风景名胜资源，负责风景名胜资源的保护和合理利用；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（五）负责风景名胜区保护范围内有关单位的相关协调工作；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（六）管理风景名胜区内基础设施及其他公共设施；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（七）负责风景名胜区保护、利用和管理的其他事项。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省人民政府建设主管部门负责龙虎山和龟峰风景名胜区的监督管理工作。省人民政府其他有关部门按照职责分工，负责龙虎山和龟峰风景名胜区的有关监督管理工作。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任何单位和个人都有权检举和制止破坏风景名胜资源的行为，并负有保护风景名胜资源的义务。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龙虎山和龟峰风景名胜区规划分为总体规划和详细规划。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龙虎山风景名胜区规划应当体现碧水丹山、天师道源、春秋崖墓等特色；龟峰风景名胜区规划应当体现丹霞奇峰、石窟等特色。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龙虎山和龟峰风景名胜区详细规划，应当符合风景名胜区总体规划。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龙虎山和龟峰风景名胜区详细规划由省人民政府建设主管部门根据风景名胜区总体规划和国家有关技术规范组织编制，依法报国务院建设主管部门审批。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编制龙虎山和龟峰风景名胜区详细规划，应当采取招标等公平竞争的方式，选择具有乙级以上规划编制资质等级的规划编制单位承担。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龙虎山和龟峰风景名胜区详细规划应当广泛征求有关部门、公众和专家的意见；有关部门、公众和专家对龙虎山和龟峰风景名胜区详细规划草案提出重大异议的，省人民政府建设主管部门应当通过召开论证会、听证会等方式进行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龙虎山和龟峰风景名胜区详细规划报送审批的材料，应当包括社会各界的意见以及意见采纳的情况和未予采纳的理由。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省人民政府建设主管部门、龙虎山管委会和龟峰管委会应当将经批准的龙虎山和龟峰风景名胜区规划的主要内容，通过政府网站等形式向社会公布，任何单位和个人有权查阅。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经批准的龙虎山和龟峰风景名胜区规划，是风景名胜区保护、利用和管理的依据，必须严格执行。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龙虎山和龟峰风景名胜区内的单位和个人应当遵守经批准的规划，服从规划管理。龙虎山和龟峰风景名胜区规划批准前，不得在风景名胜区内进行各类建设活动。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经批准的龙虎山和龟峰风景名胜区规划，不得擅自修改。确需修改的，应当依法报原审批机关批准或者备案。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龙虎山和龟峰风景名胜区及其外围保护地带内的乡（镇）、村庄规划，应当符合风景名胜区规划。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有关部门编制龙虎山和龟峰风景名胜区及其外围保护地带内的乡（镇）、村庄规划，应当书面征求龙虎山管委会或者龟峰管委会的意见。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龙虎山和龟峰风景名胜区的地貌景观和自然环境，应当根据可持续发展的原则，严格保护，不得破坏或者随意改变。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龙虎山管委会和龟峰管委会应当建立健全环境保护、动植物保护、文物保护、有害生物防治、森林防火、水土保持、地质灾害防治等风景名胜资源保护的各项管理制度，组织落实保护责任。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应当在听取有关部门、单位的意见后，对水岩、象鼻山、崖墓群、天师府、仙人城、排衙石、无蚊村、马祖岩、正一观、大上清宫、上清古镇、天师墓群等重要景观，制定相应的保护措施，实行严格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龟峰管委会应当在听取有关部门、单位的意见后，对老人峰、南岩寺佛窟、神龟迎宾、天然三叠、四声谷、二郎峰、骆驼峰、画壁峰、金钟峰等重要景观，制定相应的保护措施，实行严格保护。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在龙虎山和龟峰风景名胜区内禁止从事下列活动：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（一）开山、采石、开矿、开荒、修坟立碑、河道采砂等破坏景观、植被和地形地貌的活动；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（三）擅自砍伐林木、猎捕野生动物；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（四）在景物或者设施上刻划、涂污；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（五）随意丢弃、倾倒、堆放废弃物；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（六）向水体排放未经处理达标的污水；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（七）在非指定地点野炊或者进行其他违规用火活动。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在龙虎山和龟峰风景名胜区及其外围保护地带内不得建设污染环境的项目；已经建设的，龙虎山管委会和龟峰管委会以及有关的县级以上人民政府应当限期拆除。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违反龙虎山和龟峰风景名胜区规划，在风景名胜区内设立各类开发区和在核心景区内建设宾馆、招待所、培训中心、疗养院以及与风景名胜资源保护无关的其他建（构）筑物；已经建设的，应当按照龙虎山和龟峰风景名胜区规划逐步迁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在龙虎山和龟峰风景名胜区内从事本条例第十六条、第十七条规定的禁止范围以外的建设活动，应当经龙虎山管委会或者龟峰管委会审核后，依照有关法律、法规的规定办理审批手续。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在龙虎山和龟峰风景名胜区进行下列活动，应当经龙虎山管委会或者龟峰管委会审核后，依照有关法律、法规的规定报有关主管部门批准：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（一）设置、张贴商业广告；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（二）举办大型游乐等活动；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（三）除本条例第二十四条所列行为外的其他改变水资源、水环境自然状态的活动；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（四）进行影视拍摄和大型主题演艺；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（五）其他影响生态和景观的活动。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及其外围保护地带内建设项目的布局、高度、体量、造型和色彩等，应当保持风景名胜区特色，与周围景观和环境相协调。已有的有碍景观的建设项目，龙虎山管委会和龟峰管委会以及有关的县级以上人民政府应当限期拆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因龙虎山和龟峰风景名胜区及其外围保护地带内原有建设项目或者设施的拆除、迁出，给公民、法人或者其他组织的财产造成损失的，应当依法给予补偿。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在龙虎山和龟峰风景名胜区内进行施工的单位和个人，应当采取有效措施，保护好周围景物、水体、林草植被、野生动物资源和地形地貌；施工结束后，应当及时清理场地，恢复环境原貌。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省人民政府环境保护、水行政主管部门应当加强泸溪河水域的环境保护协调工作。对泸溪河水域生态环境有严重影响的建设项目，县级以上人民政府环境保护、水行政主管部门不得为建设单位办理有关审批手续。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县级以上人民政府和龙虎山管委会应当加强辖区内泸溪河水域的环境保护，严格控制向泸溪河水体排放污染物的总量。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禁止在龙虎山风景名胜区泸溪河水域进行下列活动：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（一）围、填、堵、塞干流或者改变河道；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（二）向水体排放或者倾倒油类、酸液、碱液、剧毒废液、可溶性剧毒废渣，或者在水体清洗装贮过该类物品的容器、车辆；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（三）使用燃油机动船从事经营活动。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鹰潭市人民政府、上饶市人民政府和有关县、乡（镇）人民政府，以及龙虎山管委会和龟峰管委会，应当扶持和帮助风景名胜区及其外围保护地带内的农村集体经济组织和农户，利用自然资源优势发展生态农业、生态林业和旅游服务业，改善生态环境，保护风景名胜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利用和管理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龙虎山管委会和龟峰管委会应当根据风景名胜区规划，合理利用风景名胜资源，改善交通、服务设施和游览条件。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龙虎山管委会和龟峰管委会应当合理核定各景区、景点的游客容量和游览路线，设置规范的地名标志、路标和说明标识，做好游客的疏导工作，并加强对导游、船工等服务人员的管理。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和龟峰管委会应当建立健全安全保障制度，加强对其所属职工及游客的安全教育和管理工作，保障游览安全，并督促风景名胜区内的经营者合法、文明经营，接受有关部门依据法律、法规、规章进行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龙虎山管委会和龟峰管委会应当在景区险要部位设置符合要求的安全设施和警示牌，并不得超过核定容量接纳游客，不得在没有安全保障的区域开展游览活动。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龙虎山管委会和龟峰管委会应当加强治安、消防管理工作，及时制止、处理破坏风景名胜区资源，危害游客人身、财产安全的行为，确保良好的社会秩序。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管委会和龟峰管委会应当会同有关部门加强对风景名胜区内环境卫生和食品卫生的监督管理，设置必要的卫生设施，保持景区良好的卫生环境。从事经营活动的单位和个人，应当遵守环境卫生和食品卫生管理的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龙虎山管委会和龟峰管委会应当组织对景区内的污水进行无害化处理，对沟谷、水体等不易清扫的地方进行定期清理，以及对建筑、生活垃圾安排统一清运。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进入龙虎山和龟峰风景名胜区的车船，应当按照指定线路行驶，在规定地点停放或者停泊。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龙虎山和龟峰风景名胜区内应当逐步使用环保型车船。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龙虎山和龟峰风景名胜区内宗教活动场所的管理和文物古迹的保护，依照有关法律、法规、规章和国家规定执行。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龙虎山和龟峰风景名胜区的门票价格，依照省人民政府价格主管部门核定的标准执行。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龙虎山和龟峰风景名胜区内的交通、服务等经营项目，由龙虎山管委会或者龟峰管委会依照有关法律、法规以及风景名胜区规划，通过招标等公平竞争的方式确定经营者。龙虎山管委会和龟峰管委会应当与经营者签订合同，依法确定各自的权利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依托风景名胜资源在龙虎山和龟峰风景名胜区内从事经营活动的单位和个人，应当依法缴纳风景名胜资源有偿使用费。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省人民政府建设主管部门应当对龙虎山和龟峰风景名胜区的规划实施情况、资源保护状况进行监督检查。对检查中发现的问题，应当及时督促有关单位进行整改。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违反本条例规定，有下列行为之一的，由龙虎山管委会或者龟峰管委会责令停止违法行为、恢复原状或者限期拆除，没收违法所得，并处五十万元以上一百万元以下罚款：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（一）在龙虎山和龟峰风景名胜区内进行开山、采石、开矿等破坏景观、植被、地形地貌的活动的；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（二）在龙虎山和龟峰风景名胜区内修建储存爆炸性、易燃性、放射性、毒害性、腐蚀性物品的设施的；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（三）在核心景区内建设宾馆、招待所、培训中心、疗养院以及与风景名胜资源保护无关的其他建（构）筑物的。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县级以上人民政府及其有关主管部门批准实施前款规定行为的，对直接负责的主管人员和其他直接责任人员依法给予降级或者撤职的处分；构成犯罪的，依法追究刑事责任。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个人在龙虎山和龟峰风景名胜区内进行开荒、修坟立碑等破坏景观、植被、地形地貌的活动的，由龙虎山管委会或者龟峰管委会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龙虎山和龟峰风景名胜区内从事禁止范围以外的建设活动，未经龙虎山管委会或者龟峰管委会审核的，由龙虎山管委会或者龟峰管委会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经龙虎山管委会或者龟峰管委会审核，在龙虎山和龟峰风景名胜区进行本条例第十九条所列活动的，由龙虎山管委会或者龟峰管委会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施工单位在施工过程中，对周围景物、水体、林草植被、野生动物资源和地形地貌造成破坏的，由龙虎山管委会或者龟峰管委会责令停止违法行为、限期恢复原状或者采取其他补救措施，并处二万元以上十万元以下罚款；逾期未恢复原状或者采取有效措施的，由龙虎山管委会或者龟峰管委会责令停止施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龙虎山风景名胜区泸溪河水域进行围、填、堵、塞干流或者改变河道等活动的，由龙虎山管委会责令停止违法行为，限期恢复原状或者采取其他补救措施，并处五万元以上十万元以下罚款。在龙虎山风景名胜区泸溪河水域使用燃油机动船从事经营活动的，由龙虎山管委会责令停止违法行为，限期恢复原状或者采取其他补救措施，并处1万元以上5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违反本条例规定，省人民政府建设主管部门、县级以上人民政府及其有关部门有下列行为之一的，对直接负责的主管人员和其他直接责任人员依法给予处分；构成犯罪的，依法追究刑事责任：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（一）违反风景名胜区规划设立各类开发区的；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（二）选择不具备相应资质等级的规划编制单位编制风景名胜区规划的；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（三）风景名胜区规划批准前批准在龙虎山和龟峰风景名胜区内进行建设活动的；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（四）擅自修改风景名胜区规划的；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（五）不依法履行监督管理职责的其他行为。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龙虎山管委会和龟峰管委会有下列行为之一的，由设立该管委会的人民政府责令改正；拒不改正或者造成严重后果的，对直接负责的主管人员和其他直接责任人员依法给予降级或者撤职的处分；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（一）超过核定容量接纳游客，或者在没有安全保障的区域开展游览活动的；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（二）未设置规范的景区地名标志、路标、说明标识和安全警示牌的；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（四）未按照省人民政府价格主管部门核定的标准，提高门票价格的；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（五）发现违法行为不予查处的；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（六）不依法履行保护、管理职责的其他行为。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对违反本条例规定的行为，依照有关法律、法规的规定，有关部门已经予以处罚的，龙虎山管委会和龟峰管委会不再处罚。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对本条例未作出法律责任规定的其他违法行为，按照有关法律、法规的规定追究法律责任。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（一）核心景区：指风景名胜区范围内自然景物、人文景物最集中的、最具观赏价值、最需要严格保护的区域，包括规划中确定的生态保护区、自然景观保护区和史迹保护区。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（二）外围保护地带：指为了保护景源特征及其生态环境的完整性、历史文化与社会的延续性、地域单元的相对独立性，保护、利用、管理的必要性与可行性划定的外围保护区域。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564523B"/>
    <w:rsid w:val="3988655B"/>
    <w:rsid w:val="39A74B10"/>
    <w:rsid w:val="3EDD237D"/>
    <w:rsid w:val="50C7118F"/>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2017-02-21T06:27:17Z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