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560" w:lineRule="exact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pacing w:val="0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560" w:lineRule="exact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pacing w:val="0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pacing w:val="0"/>
          <w:kern w:val="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0"/>
          <w:kern w:val="0"/>
          <w:sz w:val="44"/>
          <w:szCs w:val="44"/>
          <w14:textFill>
            <w14:solidFill>
              <w14:schemeClr w14:val="tx1"/>
            </w14:solidFill>
          </w14:textFill>
        </w:rPr>
        <w:t>萍乡市城市公园和广场管理条例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textAlignment w:val="auto"/>
        <w:rPr>
          <w:rStyle w:val="14"/>
          <w:rFonts w:ascii="仿宋_GB2312" w:hAnsi="黑体" w:eastAsia="仿宋_GB2312" w:cs="黑体"/>
          <w:b w:val="0"/>
          <w:bCs w:val="0"/>
          <w:color w:val="000000" w:themeColor="text1"/>
          <w:spacing w:val="0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left="638" w:leftChars="304" w:right="-76" w:rightChars="-36" w:firstLine="0" w:firstLineChars="0"/>
        <w:jc w:val="both"/>
        <w:textAlignment w:val="auto"/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</w:pP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  <w:t>（202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  <w:lang w:val="en-US" w:eastAsia="zh-CN"/>
        </w:rPr>
        <w:t>1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  <w:lang w:val="en-US" w:eastAsia="zh-CN"/>
        </w:rPr>
        <w:t>12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  <w:lang w:val="en-US" w:eastAsia="zh-CN"/>
        </w:rPr>
        <w:t>29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  <w:t>日萍乡市第十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  <w:lang w:eastAsia="zh-CN"/>
        </w:rPr>
        <w:t>六</w:t>
      </w:r>
      <w:r>
        <w:rPr>
          <w:rFonts w:hint="eastAsia" w:ascii="楷体_GB2312" w:hAnsi="Times New Roman" w:eastAsia="楷体_GB2312" w:cs="Times New Roman"/>
          <w:color w:val="000000"/>
          <w:spacing w:val="6"/>
          <w:sz w:val="32"/>
          <w:szCs w:val="32"/>
        </w:rPr>
        <w:t>届人</w:t>
      </w:r>
      <w:r>
        <w:rPr>
          <w:rFonts w:hint="eastAsia" w:ascii="楷体_GB2312" w:hAnsi="Times New Roman" w:eastAsia="楷体_GB2312" w:cs="Times New Roman"/>
          <w:color w:val="000000"/>
          <w:spacing w:val="0"/>
          <w:sz w:val="32"/>
          <w:szCs w:val="32"/>
        </w:rPr>
        <w:t>民代表大会常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left="638" w:leftChars="304" w:right="23" w:rightChars="11" w:firstLine="0" w:firstLineChars="0"/>
        <w:jc w:val="both"/>
        <w:textAlignment w:val="auto"/>
        <w:rPr>
          <w:rFonts w:hint="eastAsia" w:ascii="楷体_GB2312" w:hAnsi="Times New Roman" w:eastAsia="楷体_GB2312" w:cs="Times New Roman"/>
          <w:color w:val="000000"/>
          <w:sz w:val="32"/>
          <w:szCs w:val="32"/>
        </w:rPr>
      </w:pP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务委员会第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  <w:lang w:eastAsia="zh-CN"/>
        </w:rPr>
        <w:t>二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次会议通过  202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  <w:lang w:val="en-US" w:eastAsia="zh-CN"/>
        </w:rPr>
        <w:t>2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  <w:lang w:val="en-US" w:eastAsia="zh-CN"/>
        </w:rPr>
        <w:t>3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  <w:lang w:val="en-US" w:eastAsia="zh-CN"/>
        </w:rPr>
        <w:t>29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日江西省第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left="638" w:leftChars="304" w:right="23" w:rightChars="11" w:firstLine="0" w:firstLineChars="0"/>
        <w:jc w:val="both"/>
        <w:textAlignment w:val="auto"/>
        <w:rPr>
          <w:rFonts w:hint="eastAsia" w:ascii="楷体_GB2312" w:hAnsi="Times New Roman" w:eastAsia="楷体_GB2312" w:cs="Times New Roman"/>
          <w:color w:val="000000"/>
          <w:sz w:val="32"/>
          <w:szCs w:val="32"/>
        </w:rPr>
      </w:pP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十三届人民代表大会常务委员会第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  <w:lang w:val="en-US" w:eastAsia="zh-CN"/>
        </w:rPr>
        <w:t>三十七次</w:t>
      </w:r>
      <w:r>
        <w:rPr>
          <w:rFonts w:hint="eastAsia" w:ascii="楷体_GB2312" w:hAnsi="Times New Roman" w:eastAsia="楷体_GB2312" w:cs="Times New Roman"/>
          <w:color w:val="000000"/>
          <w:sz w:val="32"/>
          <w:szCs w:val="32"/>
        </w:rPr>
        <w:t>会议批准）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spacing w:val="0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第一条</w:t>
      </w:r>
      <w:r>
        <w:rPr>
          <w:rFonts w:hint="eastAsia" w:ascii="仿宋_GB2312" w:hAnsi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为了加强城市公园、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广场管理，改善城市生态和人居环境，增进人民身心健康，根据有关法律、法规，结合本市实际，制定本条例。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本市城市规划区内的城市公园、广场的管理活动，适用本条例。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本条例所称城市公园（以下简称公园），是指具有良好的园林景观和较完善的配套设施，具备改善生态、美化环境、休闲游憩、文化健身、科普宣传等功能，并向社会公众开放的公共场所。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条例所称城市广场（以下简称广场），是指为满足多种城市社会生活需要而建设的，以建筑、道路、山水、地形等围合，配置一定的公共设施和景观工程设施，具有一定的主题思想和规模的城市户外公共活动空间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公园、广场实行名录管理。公园、广场名录应当包括名称、类别、位置、面积、四至范围和管护单位等内容。公园、广场的名录确定和调整，由城市管理主管部门提出意见，经市、县（区）人民政府批准后向社会公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市、县（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区）人民政府应当将公园、广场的管理等纳入国民经济和社会发展计划，政府管理的公园、广场所需经费应当列入本级财政预算。</w:t>
      </w: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第五条</w:t>
      </w:r>
      <w:r>
        <w:rPr>
          <w:rFonts w:hint="eastAsia" w:ascii="仿宋_GB2312" w:hAnsi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市、县（区）人民政府城市管理主管部门主管全市公园、广场管理工作，并负责组织实施本条例。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市、县（区）人民政府有关主管部门应当按照各自职责，共同做好公园、广场管理相关工作。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公园、广场管理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机构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负责公园、广场的日常管理和服务工作。履行下列职责：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（一）建立健全公园、广场管理制度；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（二）制定突发事件应急预案和防灾避险预案，定期组织突发事件应急演练；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（三）建立公园、广场档案并妥善保存；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（四）维护和管理公园、广场内的设备、设施和绿化景观；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（五）规范公园、广场管理人员的服务行为，维护正常的游览秩序；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（六）对公园、广场内违法行为进行劝止，及时报告并协助有关部门进行查处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任何单位和个人有权投诉、举报破坏公园、广场环境和设施的行为，城市管理主管部门应当向社会公布投诉、举报方式，并依法及时处理投诉、举报。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鼓励自然人、法人和非法人组织通过投资、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资助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、捐赠、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参加志愿服务活动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等方式参与公园、广场的建设、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保护和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管理。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第九条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任何单位和个人不得擅自占用公园、广场用地，不得擅自改变公园、广场的用地性质及用途。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第十条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公园、广场应当保持整洁、美观、有序，符合下列要求：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（一）植被生长良好、植物造型美观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树木枯枝及时清理，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植被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缺损及时补种；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（二）建（构）筑物及各类设备、设施、标牌保持完好，符合规范，无安全隐患；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（三）环境卫生整洁，无纸屑、烟头等外露垃圾和痰迹、油渍等污物；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（四）保持水体清洁；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（五）古树名木、文物古迹和历史建筑物保护完好；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（六）蚊、蝇、鼠、蟑螂、白蚁等有害生物防治工作符合相关规定。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第十一条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禁止将公园、广场内的亭、台、楼、阁等园林建筑以租赁、承包等形式转交营利性组织或者个人经营，禁止将公园、广场管理用房改作经营性用房。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第十二条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公园、广场管理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机构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应当按照下列要求做好安全管理工作：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（一）按照有关规定做好防风、防雷、防汛、防火和安全用电等工作；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（二）在防火区、禁烟区、禁止游泳区、禁止垂钓区、禁飞区及容易发生安全事故的区域应当设置明显的标志，配备救生设备，并加强日常监管；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（三）对公园、广场内各类游乐、娱乐、康乐、服务等项目进行日常巡查，及时排除安全隐患；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遇有紧急情况或者突发事件，可能对公园、广场内的游人的生命、财产安全造成威胁的，应当立即启动应急预案，采取临时限制进入公园、广场，疏散游人等应急措施，并及时向城市管理主管部门和有关主管部门报告；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（五）发生重大自然灾害或者其他突发事件，有避险人员需要进入公园、广场内避灾避险的，应当及时、有序地引导避险人员到指定的应急避护场所；</w:t>
      </w:r>
    </w:p>
    <w:p>
      <w:pPr>
        <w:pStyle w:val="15"/>
        <w:keepNext w:val="0"/>
        <w:keepLines w:val="0"/>
        <w:pageBreakBefore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（六）保障无障碍设施及通道完好、畅通。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第十三条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任何单位或者个人不得向公园、广场倾倒垃圾或者排放污水，不得擅自围堵、填埋公园水体。 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公园、广场内各类设施产生的污水、废水，公园、广场水体沿岸单位和居民的生产、生活污水，应当按照规定接入城市污水处理系统。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第十四条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禁止违反公园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广场管理秩序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在公园、广场及其周边区域焚烧产生有毒有害烟尘和恶臭气体的物质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第十五条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在公园、广场内开展各类活动产生的噪声，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不得超过公园、广场声环境的噪声限值。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公园、广场管理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机构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应当在公园、广场显著位置和健身、娱乐主要活动区域设置告示牌，告知公园、广场环境噪声排放标准、禁止事项、相关活动开展的时间规定等。</w:t>
      </w:r>
    </w:p>
    <w:p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第十六条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严格控制在公园、广场内举办展览、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宣传、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演出等活动。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确需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利用公园或者广场场地、设施临时举办展览、宣传、演出等活动的，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举办单位应当制订活动方案，依法办理有关手续。</w:t>
      </w:r>
    </w:p>
    <w:p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活动期间，举办单位应当及时清除垃圾等各类废弃物。活动结束后，应当及时清理场地，恢复公园、广场景观、绿地和设施原状。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第十七条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在公园、广场内从事经营活动的经营者应当证照齐全，按照经营范围、指定地点依法经营，遵守公园、广场管理规定。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第十八条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禁止车辆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违反公园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广场管理秩序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，进入停车场以外的区域，但是下列车辆除外：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（一）老、幼、病、残者专用的非机动车；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（二）公园、广场内专用观光车辆；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（三）执行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紧急任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务的公安、城市管理、消防、救护、抢险等特种车辆及公园、广场的作业车辆；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（四）设有绿道的公园、广场允许通行的非机动车。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准许进入公园、广场的车辆，应当按照规定的速度和路线行驶，在指定的地点停放，但是执行紧急任务的车辆除外。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第十九条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公园、广场管理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机构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可以根据市、县（区）人民政府的决定，在公园、广场划定宠物活动区域，并设置告示牌。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携带宠物进入公园、广场活动区域的，携带者应当采取有效措施，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管护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好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宠物，不得妨碍或者危害他人，及时清理排泄物。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第二十条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禁止下列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违反公园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广场管理秩序的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行为：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（一）携带易燃易爆等危险物品进入公园、广场；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（二）随地吐痰、便溺，乱扔垃圾、杂物；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（三）在非指定区域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游泳、垂钓、烧烤、轮滑、踢球；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（四）损毁草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坪、花卉、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树木；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（五）种植非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景观的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瓜果蔬菜；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乱涂写、乱刻画、乱喷涂，随意悬挂、张贴宣传品等；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乱摆摊设点、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乱搭棚架；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（八）圈（放）养家禽家畜；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（九）损坏建（构）筑物、景观、设施、设备；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（十）其他违反法律法规规定和公序良俗的行为。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第二十一条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城市管理等部门及其工作人员在公园、广场管理工作中滥用职权、玩忽职守、徇私舞弊的，对直接负责的主管人员和其他直接责任人员依法给予处分。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第二十二条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违反本条例规定，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妨碍公园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广场管理秩序的,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由城市管理主管部门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按照以下规定处罚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（一）违反第十八条第一项规定的，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责令改正；拒不改正的，处二十元以上二百元以下罚款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违反第二十条第三项规定，在非指定区域游泳、垂钓、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轮滑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、踢球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的，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责令改正；拒不改正的，处二十元以上一百元以下罚款。在非指定区域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烧烤的，责令改正，没收烧烤工具和违法所得，并处五百元以上二万元以下罚款。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违反第二十条第八项规定的，责令限期处理或者予以没收，并可以处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二百元以上五百元以下罚款。 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firstLine="640" w:firstLineChars="200"/>
        <w:jc w:val="both"/>
        <w:textAlignment w:val="auto"/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违反第二十条第九项规定的，责令恢复原状，并可以处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五十元以上五百元以下罚款；造成损失的，依法予以赔偿。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第二十三条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违反本条例规定的其他行为，法律、法规已有处罚规定的，适用其规定。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pacing w:beforeAutospacing="0" w:afterAutospacing="0"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第二十</w:t>
      </w: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四</w:t>
      </w: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城市规划区以外的公园、广场的管理，参照本条例执行。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第二十</w:t>
      </w: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五</w:t>
      </w:r>
      <w:r>
        <w:rPr>
          <w:rStyle w:val="14"/>
          <w:rFonts w:hint="eastAsia" w:ascii="黑体" w:hAnsi="黑体" w:eastAsia="黑体" w:cs="黑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条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本条例自</w:t>
      </w:r>
      <w:r>
        <w:rPr>
          <w:rFonts w:hint="eastAsia" w:ascii="仿宋_GB2312" w:hAnsi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仿宋_GB2312" w:hAnsi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仿宋_GB2312" w:hAnsi="仿宋_GB2312" w:cs="仿宋_GB2312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_GB2312" w:eastAsia="仿宋_GB2312" w:cs="仿宋_GB2312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日起施行。</w:t>
      </w:r>
    </w:p>
    <w:p>
      <w:pPr>
        <w:pStyle w:val="17"/>
        <w:keepNext w:val="0"/>
        <w:keepLines w:val="0"/>
        <w:pageBreakBefore w:val="0"/>
        <w:kinsoku/>
        <w:wordWrap/>
        <w:topLinePunct w:val="0"/>
        <w:autoSpaceDN/>
        <w:bidi w:val="0"/>
        <w:spacing w:after="0" w:line="560" w:lineRule="exact"/>
        <w:ind w:left="0" w:leftChars="0" w:firstLine="0" w:firstLineChars="0"/>
        <w:rPr>
          <w:rFonts w:hint="eastAsia" w:ascii="黑体" w:hAnsi="黑体" w:eastAsia="黑体" w:cs="黑体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 w:firstLine="360"/>
      <w:rPr>
        <w:rFonts w:hint="eastAsia" w:ascii="仿宋_GB2312" w:eastAsia="仿宋_GB2312"/>
        <w:sz w:val="32"/>
        <w:szCs w:val="32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auto"/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auto"/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0B1DA"/>
    <w:multiLevelType w:val="singleLevel"/>
    <w:tmpl w:val="76E0B1DA"/>
    <w:lvl w:ilvl="0" w:tentative="0">
      <w:start w:val="4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6146F"/>
    <w:rsid w:val="0005533B"/>
    <w:rsid w:val="0011633B"/>
    <w:rsid w:val="0013344B"/>
    <w:rsid w:val="002840E0"/>
    <w:rsid w:val="002A6CAD"/>
    <w:rsid w:val="004110DA"/>
    <w:rsid w:val="004500A8"/>
    <w:rsid w:val="004A4429"/>
    <w:rsid w:val="00537A0D"/>
    <w:rsid w:val="005F6D3D"/>
    <w:rsid w:val="006210CE"/>
    <w:rsid w:val="00702AE6"/>
    <w:rsid w:val="00866A25"/>
    <w:rsid w:val="008E5CC8"/>
    <w:rsid w:val="00904150"/>
    <w:rsid w:val="009566C2"/>
    <w:rsid w:val="00965F8D"/>
    <w:rsid w:val="009C064A"/>
    <w:rsid w:val="009C2B2D"/>
    <w:rsid w:val="00A82233"/>
    <w:rsid w:val="00B42417"/>
    <w:rsid w:val="00BC30E6"/>
    <w:rsid w:val="00C539A9"/>
    <w:rsid w:val="00C55A89"/>
    <w:rsid w:val="00D04CE6"/>
    <w:rsid w:val="00D43077"/>
    <w:rsid w:val="00DE3A6B"/>
    <w:rsid w:val="00E03982"/>
    <w:rsid w:val="00F01A12"/>
    <w:rsid w:val="00F466FD"/>
    <w:rsid w:val="00F718E0"/>
    <w:rsid w:val="015667B1"/>
    <w:rsid w:val="01B36AD3"/>
    <w:rsid w:val="05587C4D"/>
    <w:rsid w:val="056F29FE"/>
    <w:rsid w:val="074F5DC0"/>
    <w:rsid w:val="0B3B399E"/>
    <w:rsid w:val="0F266B67"/>
    <w:rsid w:val="0FC3DB26"/>
    <w:rsid w:val="115B2F1B"/>
    <w:rsid w:val="115E5C0C"/>
    <w:rsid w:val="11CA04EA"/>
    <w:rsid w:val="16853084"/>
    <w:rsid w:val="1709589F"/>
    <w:rsid w:val="17EB0D00"/>
    <w:rsid w:val="19CB312F"/>
    <w:rsid w:val="1A02324C"/>
    <w:rsid w:val="1AEA0CB2"/>
    <w:rsid w:val="1EA5028D"/>
    <w:rsid w:val="22E64CDC"/>
    <w:rsid w:val="266A1CE4"/>
    <w:rsid w:val="277B15D1"/>
    <w:rsid w:val="279C59D1"/>
    <w:rsid w:val="2A1C6FE6"/>
    <w:rsid w:val="2E020124"/>
    <w:rsid w:val="2E661D3E"/>
    <w:rsid w:val="308B30EE"/>
    <w:rsid w:val="30DA17AD"/>
    <w:rsid w:val="30EB2F25"/>
    <w:rsid w:val="32D6273C"/>
    <w:rsid w:val="33256CD1"/>
    <w:rsid w:val="3496146F"/>
    <w:rsid w:val="37501750"/>
    <w:rsid w:val="37A35E86"/>
    <w:rsid w:val="37B05FA8"/>
    <w:rsid w:val="3937633F"/>
    <w:rsid w:val="395707DD"/>
    <w:rsid w:val="3A3041DE"/>
    <w:rsid w:val="3A8E20A8"/>
    <w:rsid w:val="3BA1297E"/>
    <w:rsid w:val="3F4C3841"/>
    <w:rsid w:val="40827CA2"/>
    <w:rsid w:val="41692489"/>
    <w:rsid w:val="41972D41"/>
    <w:rsid w:val="45D5782E"/>
    <w:rsid w:val="467F1CAB"/>
    <w:rsid w:val="48B80202"/>
    <w:rsid w:val="4AA62D07"/>
    <w:rsid w:val="4D0A07B5"/>
    <w:rsid w:val="50954B01"/>
    <w:rsid w:val="536B1031"/>
    <w:rsid w:val="53B15B3C"/>
    <w:rsid w:val="53FF606B"/>
    <w:rsid w:val="564D049A"/>
    <w:rsid w:val="57361BC8"/>
    <w:rsid w:val="5797EAFD"/>
    <w:rsid w:val="58651106"/>
    <w:rsid w:val="58995820"/>
    <w:rsid w:val="5AE80A96"/>
    <w:rsid w:val="5B9432F5"/>
    <w:rsid w:val="5BD2187A"/>
    <w:rsid w:val="5CE13C53"/>
    <w:rsid w:val="5E124B77"/>
    <w:rsid w:val="5F6855EF"/>
    <w:rsid w:val="609A1D6F"/>
    <w:rsid w:val="639102FD"/>
    <w:rsid w:val="64CC514C"/>
    <w:rsid w:val="695B1472"/>
    <w:rsid w:val="6B8D3125"/>
    <w:rsid w:val="6D663CF9"/>
    <w:rsid w:val="6EC025AE"/>
    <w:rsid w:val="6F2C0330"/>
    <w:rsid w:val="70ED2215"/>
    <w:rsid w:val="71114FF6"/>
    <w:rsid w:val="72AC107D"/>
    <w:rsid w:val="74D32F55"/>
    <w:rsid w:val="76715894"/>
    <w:rsid w:val="77AF660C"/>
    <w:rsid w:val="7AE67FE3"/>
    <w:rsid w:val="7B357598"/>
    <w:rsid w:val="7CFF4595"/>
    <w:rsid w:val="7FD76026"/>
    <w:rsid w:val="B3F71BB1"/>
    <w:rsid w:val="EBBF7AEC"/>
    <w:rsid w:val="F73D8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99"/>
    <w:pPr>
      <w:ind w:firstLine="420" w:firstLineChars="100"/>
    </w:pPr>
  </w:style>
  <w:style w:type="paragraph" w:styleId="3">
    <w:name w:val="Body Text"/>
    <w:basedOn w:val="1"/>
    <w:qFormat/>
    <w:uiPriority w:val="99"/>
    <w:pPr>
      <w:spacing w:after="120"/>
    </w:p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qFormat/>
    <w:uiPriority w:val="0"/>
  </w:style>
  <w:style w:type="character" w:styleId="13">
    <w:name w:val="annotation reference"/>
    <w:basedOn w:val="10"/>
    <w:qFormat/>
    <w:uiPriority w:val="0"/>
    <w:rPr>
      <w:sz w:val="21"/>
      <w:szCs w:val="21"/>
    </w:rPr>
  </w:style>
  <w:style w:type="character" w:customStyle="1" w:styleId="14">
    <w:name w:val="sect2title1"/>
    <w:basedOn w:val="10"/>
    <w:qFormat/>
    <w:uiPriority w:val="99"/>
    <w:rPr>
      <w:rFonts w:ascii="微软雅黑" w:hAnsi="微软雅黑" w:eastAsia="微软雅黑" w:cs="Times New Roman"/>
      <w:b/>
      <w:bCs/>
      <w:sz w:val="21"/>
      <w:szCs w:val="21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List Paragraph_66e26f8a-0072-43aa-a1fb-cf053082fce3"/>
    <w:basedOn w:val="1"/>
    <w:qFormat/>
    <w:uiPriority w:val="99"/>
    <w:pPr>
      <w:ind w:firstLine="420" w:firstLineChars="200"/>
    </w:pPr>
  </w:style>
  <w:style w:type="paragraph" w:customStyle="1" w:styleId="17">
    <w:name w:val="BodyText1I"/>
    <w:basedOn w:val="18"/>
    <w:qFormat/>
    <w:uiPriority w:val="99"/>
    <w:pPr>
      <w:ind w:firstLine="420" w:firstLineChars="100"/>
    </w:pPr>
  </w:style>
  <w:style w:type="paragraph" w:customStyle="1" w:styleId="18">
    <w:name w:val="BodyText"/>
    <w:basedOn w:val="1"/>
    <w:qFormat/>
    <w:uiPriority w:val="99"/>
    <w:pPr>
      <w:spacing w:after="120"/>
      <w:textAlignment w:val="baseline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ome\kylin\D:\home\kylin\D:\home\kylin\F:\&#27861;&#24037;&#22996;&#25991;&#20214;\&#12304;1&#12305;&#31435;&#27861;&#24037;&#20316;\&#31435;&#27861;&#26465;&#20363;\&#21521;&#30465;&#22791;&#26696;&#25253;&#21578;\&#20844;&#21578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公告.dotx</Template>
  <Pages>1</Pages>
  <Words>130</Words>
  <Characters>142</Characters>
  <Lines>111</Lines>
  <Paragraphs>31</Paragraphs>
  <TotalTime>3</TotalTime>
  <ScaleCrop>false</ScaleCrop>
  <LinksUpToDate>false</LinksUpToDate>
  <CharactersWithSpaces>15665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2017-05-28T22:12:00Z</dcterms:created>
  <dc:creator>Administrator</dc:creator>
  <cp:lastModifiedBy>2    1    6</cp:lastModifiedBy>
  <cp:lastPrinted>2022-04-15T14:41:00Z</cp:lastPrinted>
  <dcterms:modified xsi:type="dcterms:W3CDTF">2022-04-20T07:55:08Z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44823D73F9904317863D6760B26463FE</vt:lpwstr>
  </property>
</Properties>
</file>