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int="eastAsia" w:ascii="宋体" w:hAnsi="宋体" w:eastAsia="宋体" w:cs="宋体"/>
        </w:rPr>
      </w:pPr>
    </w:p>
    <w:p>
      <w:pPr>
        <w:pStyle w:val="8"/>
        <w:keepNext w:val="0"/>
        <w:keepLines w:val="0"/>
        <w:pageBreakBefore w:val="0"/>
        <w:widowControl w:val="0"/>
        <w:kinsoku/>
        <w:overflowPunct/>
        <w:topLinePunct w:val="0"/>
        <w:autoSpaceDE w:val="0"/>
        <w:autoSpaceDN/>
        <w:bidi w:val="0"/>
        <w:adjustRightInd w:val="0"/>
        <w:snapToGrid w:val="0"/>
        <w:spacing w:line="560" w:lineRule="exact"/>
        <w:ind w:firstLine="0" w:firstLineChars="0"/>
        <w:jc w:val="center"/>
        <w:textAlignment w:val="auto"/>
        <w:rPr>
          <w:rFonts w:hint="default" w:ascii="宋体" w:eastAsia="宋体" w:cs="宋体"/>
          <w:sz w:val="32"/>
          <w:szCs w:val="32"/>
        </w:rPr>
      </w:pPr>
    </w:p>
    <w:p>
      <w:pPr>
        <w:pStyle w:val="8"/>
        <w:keepNext w:val="0"/>
        <w:keepLines w:val="0"/>
        <w:pageBreakBefore w:val="0"/>
        <w:widowControl w:val="0"/>
        <w:kinsoku/>
        <w:overflowPunct/>
        <w:topLinePunct w:val="0"/>
        <w:autoSpaceDE w:val="0"/>
        <w:autoSpaceDN/>
        <w:bidi w:val="0"/>
        <w:adjustRightInd w:val="0"/>
        <w:snapToGrid w:val="0"/>
        <w:spacing w:line="560" w:lineRule="exact"/>
        <w:ind w:firstLine="0" w:firstLineChars="0"/>
        <w:jc w:val="center"/>
        <w:textAlignment w:val="auto"/>
        <w:rPr>
          <w:rFonts w:hint="default" w:ascii="方正小标宋简体" w:hAnsi="仿宋" w:eastAsia="方正小标宋简体" w:cs="楷体"/>
          <w:sz w:val="44"/>
          <w:szCs w:val="44"/>
        </w:rPr>
      </w:pPr>
      <w:r>
        <w:rPr>
          <w:rFonts w:ascii="宋体" w:eastAsia="宋体" w:cs="宋体"/>
          <w:sz w:val="44"/>
          <w:szCs w:val="44"/>
        </w:rPr>
        <w:t>萍乡市燃气管理条例</w:t>
      </w:r>
    </w:p>
    <w:p>
      <w:pPr>
        <w:pStyle w:val="8"/>
        <w:keepNext w:val="0"/>
        <w:keepLines w:val="0"/>
        <w:pageBreakBefore w:val="0"/>
        <w:widowControl w:val="0"/>
        <w:kinsoku/>
        <w:overflowPunct/>
        <w:topLinePunct w:val="0"/>
        <w:autoSpaceDE w:val="0"/>
        <w:autoSpaceDN/>
        <w:bidi w:val="0"/>
        <w:adjustRightInd w:val="0"/>
        <w:snapToGrid w:val="0"/>
        <w:spacing w:line="560" w:lineRule="exact"/>
        <w:ind w:left="1280" w:leftChars="400" w:right="1280" w:rightChars="400" w:firstLine="0" w:firstLineChars="0"/>
        <w:jc w:val="center"/>
        <w:textAlignment w:val="auto"/>
        <w:rPr>
          <w:rFonts w:hint="default" w:ascii="宋体" w:eastAsia="宋体" w:cs="楷体"/>
          <w:b/>
          <w:sz w:val="32"/>
          <w:szCs w:val="32"/>
        </w:rPr>
      </w:pPr>
    </w:p>
    <w:p>
      <w:pPr>
        <w:keepNext w:val="0"/>
        <w:keepLines w:val="0"/>
        <w:pageBreakBefore w:val="0"/>
        <w:widowControl w:val="0"/>
        <w:kinsoku/>
        <w:wordWrap w:val="0"/>
        <w:overflowPunct/>
        <w:topLinePunct w:val="0"/>
        <w:autoSpaceDE/>
        <w:autoSpaceDN/>
        <w:bidi w:val="0"/>
        <w:adjustRightInd/>
        <w:snapToGrid/>
        <w:spacing w:line="560" w:lineRule="exact"/>
        <w:ind w:left="640" w:leftChars="200" w:right="640" w:rightChars="200"/>
        <w:jc w:val="both"/>
        <w:textAlignment w:val="auto"/>
        <w:rPr>
          <w:rFonts w:hint="default" w:ascii="楷体_GB2312" w:hAnsi="楷体_GB2312" w:eastAsia="楷体_GB2312" w:cs="楷体_GB2312"/>
          <w:bCs/>
          <w:spacing w:val="0"/>
          <w:sz w:val="32"/>
          <w:szCs w:val="32"/>
        </w:rPr>
      </w:pPr>
      <w:r>
        <w:rPr>
          <w:rFonts w:ascii="楷体_GB2312" w:hAnsi="楷体_GB2312" w:eastAsia="楷体_GB2312" w:cs="楷体_GB2312"/>
          <w:bCs/>
          <w:spacing w:val="0"/>
          <w:sz w:val="32"/>
          <w:szCs w:val="32"/>
        </w:rPr>
        <w:t>（2017年12月22日萍乡市第十五届人民代表大会常务委员会第八次会议通过</w:t>
      </w:r>
      <w:r>
        <w:rPr>
          <w:rFonts w:hint="eastAsia" w:ascii="楷体_GB2312" w:hAnsi="楷体_GB2312" w:eastAsia="楷体_GB2312" w:cs="楷体_GB2312"/>
          <w:bCs/>
          <w:spacing w:val="0"/>
          <w:sz w:val="32"/>
          <w:szCs w:val="32"/>
          <w:lang w:eastAsia="zh-CN"/>
        </w:rPr>
        <w:t>，</w:t>
      </w:r>
      <w:r>
        <w:rPr>
          <w:rFonts w:ascii="楷体_GB2312" w:hAnsi="楷体_GB2312" w:eastAsia="楷体_GB2312" w:cs="楷体_GB2312"/>
          <w:bCs/>
          <w:spacing w:val="0"/>
          <w:sz w:val="32"/>
          <w:szCs w:val="32"/>
        </w:rPr>
        <w:t>2018年4月2日江西省第十三届人民代表大会常务委员会第二次会议批准</w:t>
      </w:r>
      <w:r>
        <w:rPr>
          <w:rFonts w:hint="eastAsia" w:ascii="楷体_GB2312" w:hAnsi="楷体_GB2312" w:eastAsia="楷体_GB2312" w:cs="楷体_GB2312"/>
          <w:bCs/>
          <w:spacing w:val="0"/>
          <w:sz w:val="32"/>
          <w:szCs w:val="32"/>
          <w:lang w:val="en-US" w:eastAsia="zh-CN"/>
        </w:rPr>
        <w:t xml:space="preserve">  根据2020年4月21日</w:t>
      </w:r>
      <w:r>
        <w:rPr>
          <w:rFonts w:hint="eastAsia" w:ascii="楷体_GB2312" w:hAnsi="楷体_GB2312" w:eastAsia="楷体_GB2312" w:cs="楷体_GB2312"/>
          <w:bCs/>
          <w:spacing w:val="0"/>
          <w:sz w:val="32"/>
          <w:szCs w:val="32"/>
        </w:rPr>
        <w:t>萍乡市第十五届人民代表大会常务委员会第二十</w:t>
      </w:r>
      <w:r>
        <w:rPr>
          <w:rFonts w:hint="eastAsia" w:ascii="楷体_GB2312" w:hAnsi="楷体_GB2312" w:eastAsia="楷体_GB2312" w:cs="楷体_GB2312"/>
          <w:bCs/>
          <w:spacing w:val="0"/>
          <w:sz w:val="32"/>
          <w:szCs w:val="32"/>
          <w:lang w:eastAsia="zh-CN"/>
        </w:rPr>
        <w:t>五</w:t>
      </w:r>
      <w:r>
        <w:rPr>
          <w:rFonts w:hint="eastAsia" w:ascii="楷体_GB2312" w:hAnsi="楷体_GB2312" w:eastAsia="楷体_GB2312" w:cs="楷体_GB2312"/>
          <w:bCs/>
          <w:spacing w:val="0"/>
          <w:sz w:val="32"/>
          <w:szCs w:val="32"/>
        </w:rPr>
        <w:t>次会议</w:t>
      </w:r>
      <w:r>
        <w:rPr>
          <w:rFonts w:hint="eastAsia" w:ascii="楷体_GB2312" w:hAnsi="楷体_GB2312" w:eastAsia="楷体_GB2312" w:cs="楷体_GB2312"/>
          <w:bCs/>
          <w:spacing w:val="0"/>
          <w:sz w:val="32"/>
          <w:szCs w:val="32"/>
          <w:lang w:eastAsia="zh-CN"/>
        </w:rPr>
        <w:t>通过，</w:t>
      </w:r>
      <w:r>
        <w:rPr>
          <w:rFonts w:hint="eastAsia" w:ascii="楷体_GB2312" w:hAnsi="楷体_GB2312" w:eastAsia="楷体_GB2312" w:cs="楷体_GB2312"/>
          <w:bCs/>
          <w:spacing w:val="0"/>
          <w:sz w:val="32"/>
          <w:szCs w:val="32"/>
          <w:lang w:val="en-US" w:eastAsia="zh-CN"/>
        </w:rPr>
        <w:t>2020年5月14日</w:t>
      </w:r>
      <w:r>
        <w:rPr>
          <w:rFonts w:hint="eastAsia" w:ascii="楷体_GB2312" w:hAnsi="楷体_GB2312" w:eastAsia="楷体_GB2312" w:cs="楷体_GB2312"/>
          <w:bCs/>
          <w:spacing w:val="0"/>
          <w:sz w:val="32"/>
          <w:szCs w:val="32"/>
          <w:lang w:eastAsia="zh-CN"/>
        </w:rPr>
        <w:t>江西省</w:t>
      </w:r>
      <w:r>
        <w:rPr>
          <w:rFonts w:hint="eastAsia" w:ascii="楷体_GB2312" w:hAnsi="楷体_GB2312" w:eastAsia="楷体_GB2312" w:cs="楷体_GB2312"/>
          <w:bCs/>
          <w:spacing w:val="0"/>
          <w:sz w:val="32"/>
          <w:szCs w:val="32"/>
        </w:rPr>
        <w:t>第十</w:t>
      </w:r>
      <w:r>
        <w:rPr>
          <w:rFonts w:hint="eastAsia" w:ascii="楷体_GB2312" w:hAnsi="楷体_GB2312" w:eastAsia="楷体_GB2312" w:cs="楷体_GB2312"/>
          <w:bCs/>
          <w:spacing w:val="0"/>
          <w:sz w:val="32"/>
          <w:szCs w:val="32"/>
          <w:lang w:eastAsia="zh-CN"/>
        </w:rPr>
        <w:t>三</w:t>
      </w:r>
      <w:r>
        <w:rPr>
          <w:rFonts w:hint="eastAsia" w:ascii="楷体_GB2312" w:hAnsi="楷体_GB2312" w:eastAsia="楷体_GB2312" w:cs="楷体_GB2312"/>
          <w:bCs/>
          <w:spacing w:val="0"/>
          <w:sz w:val="32"/>
          <w:szCs w:val="32"/>
        </w:rPr>
        <w:t>届人民代表大会常务委员会</w:t>
      </w:r>
      <w:r>
        <w:rPr>
          <w:rFonts w:hint="eastAsia" w:ascii="楷体_GB2312" w:hAnsi="楷体_GB2312" w:eastAsia="楷体_GB2312" w:cs="楷体_GB2312"/>
          <w:bCs/>
          <w:spacing w:val="0"/>
          <w:sz w:val="32"/>
          <w:szCs w:val="32"/>
          <w:lang w:eastAsia="zh-CN"/>
        </w:rPr>
        <w:t>第二十</w:t>
      </w:r>
      <w:r>
        <w:rPr>
          <w:rFonts w:hint="eastAsia" w:ascii="楷体_GB2312" w:hAnsi="楷体_GB2312" w:eastAsia="楷体_GB2312" w:cs="楷体_GB2312"/>
          <w:bCs/>
          <w:spacing w:val="0"/>
          <w:sz w:val="32"/>
          <w:szCs w:val="32"/>
          <w:lang w:val="en-US" w:eastAsia="zh-CN"/>
        </w:rPr>
        <w:t>次会议批准《萍乡市人民代表大会常务委员会关于修改〈萍乡市燃气管理条例〉的决定》修正</w:t>
      </w:r>
      <w:r>
        <w:rPr>
          <w:rFonts w:ascii="楷体_GB2312" w:hAnsi="楷体_GB2312" w:eastAsia="楷体_GB2312" w:cs="楷体_GB2312"/>
          <w:bCs/>
          <w:spacing w:val="0"/>
          <w:sz w:val="32"/>
          <w:szCs w:val="32"/>
        </w:rPr>
        <w:t>）</w:t>
      </w:r>
    </w:p>
    <w:p>
      <w:pPr>
        <w:pStyle w:val="8"/>
        <w:keepNext w:val="0"/>
        <w:keepLines w:val="0"/>
        <w:pageBreakBefore w:val="0"/>
        <w:widowControl w:val="0"/>
        <w:kinsoku/>
        <w:overflowPunct/>
        <w:topLinePunct w:val="0"/>
        <w:autoSpaceDE w:val="0"/>
        <w:autoSpaceDN/>
        <w:bidi w:val="0"/>
        <w:adjustRightInd w:val="0"/>
        <w:snapToGrid w:val="0"/>
        <w:spacing w:line="560" w:lineRule="exact"/>
        <w:ind w:firstLine="0" w:firstLineChars="0"/>
        <w:jc w:val="center"/>
        <w:textAlignment w:val="auto"/>
        <w:rPr>
          <w:rFonts w:hint="default" w:ascii="宋体" w:eastAsia="宋体" w:cs="楷体"/>
          <w:sz w:val="32"/>
          <w:szCs w:val="32"/>
        </w:rPr>
      </w:pPr>
    </w:p>
    <w:p>
      <w:pPr>
        <w:pStyle w:val="8"/>
        <w:keepNext w:val="0"/>
        <w:keepLines w:val="0"/>
        <w:pageBreakBefore w:val="0"/>
        <w:widowControl w:val="0"/>
        <w:kinsoku/>
        <w:overflowPunct/>
        <w:topLinePunct w:val="0"/>
        <w:autoSpaceDE w:val="0"/>
        <w:autoSpaceDN/>
        <w:bidi w:val="0"/>
        <w:adjustRightInd w:val="0"/>
        <w:snapToGrid w:val="0"/>
        <w:spacing w:line="560" w:lineRule="exact"/>
        <w:ind w:firstLine="0" w:firstLineChars="0"/>
        <w:jc w:val="center"/>
        <w:textAlignment w:val="auto"/>
        <w:rPr>
          <w:rFonts w:hint="default" w:ascii="楷体_GB2312" w:hAnsi="楷体_GB2312" w:eastAsia="楷体_GB2312" w:cs="楷体_GB2312"/>
          <w:sz w:val="44"/>
          <w:szCs w:val="44"/>
        </w:rPr>
      </w:pPr>
      <w:r>
        <w:rPr>
          <w:rFonts w:ascii="楷体_GB2312" w:hAnsi="楷体_GB2312" w:eastAsia="楷体_GB2312" w:cs="楷体_GB2312"/>
          <w:sz w:val="32"/>
          <w:szCs w:val="32"/>
        </w:rPr>
        <w:t>目    录</w:t>
      </w:r>
    </w:p>
    <w:p>
      <w:pPr>
        <w:pStyle w:val="8"/>
        <w:keepNext w:val="0"/>
        <w:keepLines w:val="0"/>
        <w:pageBreakBefore w:val="0"/>
        <w:widowControl w:val="0"/>
        <w:kinsoku/>
        <w:overflowPunct/>
        <w:topLinePunct w:val="0"/>
        <w:autoSpaceDE w:val="0"/>
        <w:autoSpaceDN/>
        <w:bidi w:val="0"/>
        <w:adjustRightInd w:val="0"/>
        <w:snapToGrid w:val="0"/>
        <w:spacing w:line="560" w:lineRule="exact"/>
        <w:ind w:left="640" w:leftChars="200" w:firstLine="0" w:firstLineChars="0"/>
        <w:jc w:val="left"/>
        <w:textAlignment w:val="auto"/>
        <w:rPr>
          <w:rFonts w:hint="default" w:ascii="楷体_GB2312" w:hAnsi="楷体_GB2312" w:eastAsia="楷体_GB2312" w:cs="楷体_GB2312"/>
          <w:sz w:val="32"/>
          <w:szCs w:val="32"/>
        </w:rPr>
      </w:pPr>
      <w:r>
        <w:rPr>
          <w:rFonts w:ascii="楷体_GB2312" w:hAnsi="楷体_GB2312" w:eastAsia="楷体_GB2312" w:cs="楷体_GB2312"/>
          <w:sz w:val="32"/>
          <w:szCs w:val="32"/>
        </w:rPr>
        <w:t>第一章  总  则</w:t>
      </w:r>
    </w:p>
    <w:p>
      <w:pPr>
        <w:pStyle w:val="8"/>
        <w:keepNext w:val="0"/>
        <w:keepLines w:val="0"/>
        <w:pageBreakBefore w:val="0"/>
        <w:widowControl w:val="0"/>
        <w:kinsoku/>
        <w:overflowPunct/>
        <w:topLinePunct w:val="0"/>
        <w:autoSpaceDE w:val="0"/>
        <w:autoSpaceDN/>
        <w:bidi w:val="0"/>
        <w:adjustRightInd w:val="0"/>
        <w:snapToGrid w:val="0"/>
        <w:spacing w:line="560" w:lineRule="exact"/>
        <w:ind w:left="640" w:leftChars="200" w:firstLine="0" w:firstLineChars="0"/>
        <w:jc w:val="left"/>
        <w:textAlignment w:val="auto"/>
        <w:rPr>
          <w:rFonts w:hint="default" w:ascii="楷体_GB2312" w:hAnsi="楷体_GB2312" w:eastAsia="楷体_GB2312" w:cs="楷体_GB2312"/>
          <w:sz w:val="32"/>
          <w:szCs w:val="32"/>
        </w:rPr>
      </w:pPr>
      <w:r>
        <w:rPr>
          <w:rFonts w:ascii="楷体_GB2312" w:hAnsi="楷体_GB2312" w:eastAsia="楷体_GB2312" w:cs="楷体_GB2312"/>
          <w:sz w:val="32"/>
          <w:szCs w:val="32"/>
        </w:rPr>
        <w:t>第二章  燃气发展规划与设施建设</w:t>
      </w:r>
    </w:p>
    <w:p>
      <w:pPr>
        <w:pStyle w:val="8"/>
        <w:keepNext w:val="0"/>
        <w:keepLines w:val="0"/>
        <w:pageBreakBefore w:val="0"/>
        <w:widowControl w:val="0"/>
        <w:kinsoku/>
        <w:overflowPunct/>
        <w:topLinePunct w:val="0"/>
        <w:autoSpaceDE w:val="0"/>
        <w:autoSpaceDN/>
        <w:bidi w:val="0"/>
        <w:adjustRightInd w:val="0"/>
        <w:snapToGrid w:val="0"/>
        <w:spacing w:line="560" w:lineRule="exact"/>
        <w:ind w:left="640" w:leftChars="200" w:firstLine="0" w:firstLineChars="0"/>
        <w:jc w:val="left"/>
        <w:textAlignment w:val="auto"/>
        <w:rPr>
          <w:rFonts w:hint="default" w:ascii="楷体_GB2312" w:hAnsi="楷体_GB2312" w:eastAsia="楷体_GB2312" w:cs="楷体_GB2312"/>
          <w:sz w:val="32"/>
          <w:szCs w:val="32"/>
        </w:rPr>
      </w:pPr>
      <w:r>
        <w:rPr>
          <w:rFonts w:ascii="楷体_GB2312" w:hAnsi="楷体_GB2312" w:eastAsia="楷体_GB2312" w:cs="楷体_GB2312"/>
          <w:sz w:val="32"/>
          <w:szCs w:val="32"/>
        </w:rPr>
        <w:t>第三章  燃气经营与服务</w:t>
      </w:r>
    </w:p>
    <w:p>
      <w:pPr>
        <w:pStyle w:val="8"/>
        <w:keepNext w:val="0"/>
        <w:keepLines w:val="0"/>
        <w:pageBreakBefore w:val="0"/>
        <w:widowControl w:val="0"/>
        <w:kinsoku/>
        <w:overflowPunct/>
        <w:topLinePunct w:val="0"/>
        <w:autoSpaceDE w:val="0"/>
        <w:autoSpaceDN/>
        <w:bidi w:val="0"/>
        <w:adjustRightInd w:val="0"/>
        <w:snapToGrid w:val="0"/>
        <w:spacing w:line="560" w:lineRule="exact"/>
        <w:ind w:left="640" w:leftChars="200" w:firstLine="0" w:firstLineChars="0"/>
        <w:jc w:val="left"/>
        <w:textAlignment w:val="auto"/>
        <w:rPr>
          <w:rFonts w:hint="default" w:ascii="楷体_GB2312" w:hAnsi="楷体_GB2312" w:eastAsia="楷体_GB2312" w:cs="楷体_GB2312"/>
          <w:sz w:val="32"/>
          <w:szCs w:val="32"/>
        </w:rPr>
      </w:pPr>
      <w:r>
        <w:rPr>
          <w:rFonts w:ascii="楷体_GB2312" w:hAnsi="楷体_GB2312" w:eastAsia="楷体_GB2312" w:cs="楷体_GB2312"/>
          <w:sz w:val="32"/>
          <w:szCs w:val="32"/>
        </w:rPr>
        <w:t>第四章  燃气使用与器具管理</w:t>
      </w:r>
    </w:p>
    <w:p>
      <w:pPr>
        <w:pStyle w:val="8"/>
        <w:keepNext w:val="0"/>
        <w:keepLines w:val="0"/>
        <w:pageBreakBefore w:val="0"/>
        <w:widowControl w:val="0"/>
        <w:kinsoku/>
        <w:overflowPunct/>
        <w:topLinePunct w:val="0"/>
        <w:autoSpaceDE w:val="0"/>
        <w:autoSpaceDN/>
        <w:bidi w:val="0"/>
        <w:adjustRightInd w:val="0"/>
        <w:snapToGrid w:val="0"/>
        <w:spacing w:line="560" w:lineRule="exact"/>
        <w:ind w:left="640" w:leftChars="200" w:firstLine="0" w:firstLineChars="0"/>
        <w:jc w:val="left"/>
        <w:textAlignment w:val="auto"/>
        <w:rPr>
          <w:rFonts w:hint="default" w:ascii="楷体_GB2312" w:hAnsi="楷体_GB2312" w:eastAsia="楷体_GB2312" w:cs="楷体_GB2312"/>
          <w:sz w:val="32"/>
          <w:szCs w:val="32"/>
        </w:rPr>
      </w:pPr>
      <w:r>
        <w:rPr>
          <w:rFonts w:ascii="楷体_GB2312" w:hAnsi="楷体_GB2312" w:eastAsia="楷体_GB2312" w:cs="楷体_GB2312"/>
          <w:sz w:val="32"/>
          <w:szCs w:val="32"/>
        </w:rPr>
        <w:t>第五章  燃气安全管理与应急处置</w:t>
      </w:r>
    </w:p>
    <w:p>
      <w:pPr>
        <w:pStyle w:val="8"/>
        <w:keepNext w:val="0"/>
        <w:keepLines w:val="0"/>
        <w:pageBreakBefore w:val="0"/>
        <w:widowControl w:val="0"/>
        <w:kinsoku/>
        <w:overflowPunct/>
        <w:topLinePunct w:val="0"/>
        <w:autoSpaceDE w:val="0"/>
        <w:autoSpaceDN/>
        <w:bidi w:val="0"/>
        <w:adjustRightInd w:val="0"/>
        <w:snapToGrid w:val="0"/>
        <w:spacing w:line="560" w:lineRule="exact"/>
        <w:ind w:left="640" w:leftChars="200" w:firstLine="0" w:firstLineChars="0"/>
        <w:jc w:val="left"/>
        <w:textAlignment w:val="auto"/>
        <w:rPr>
          <w:rFonts w:hint="default" w:ascii="楷体_GB2312" w:hAnsi="楷体_GB2312" w:eastAsia="楷体_GB2312" w:cs="楷体_GB2312"/>
          <w:sz w:val="32"/>
          <w:szCs w:val="32"/>
        </w:rPr>
      </w:pPr>
      <w:r>
        <w:rPr>
          <w:rFonts w:ascii="楷体_GB2312" w:hAnsi="楷体_GB2312" w:eastAsia="楷体_GB2312" w:cs="楷体_GB2312"/>
          <w:sz w:val="32"/>
          <w:szCs w:val="32"/>
        </w:rPr>
        <w:t>第六章  法律责任</w:t>
      </w:r>
    </w:p>
    <w:p>
      <w:pPr>
        <w:pStyle w:val="8"/>
        <w:keepNext w:val="0"/>
        <w:keepLines w:val="0"/>
        <w:pageBreakBefore w:val="0"/>
        <w:widowControl w:val="0"/>
        <w:kinsoku/>
        <w:overflowPunct/>
        <w:topLinePunct w:val="0"/>
        <w:autoSpaceDE w:val="0"/>
        <w:autoSpaceDN/>
        <w:bidi w:val="0"/>
        <w:adjustRightInd w:val="0"/>
        <w:snapToGrid w:val="0"/>
        <w:spacing w:line="560" w:lineRule="exact"/>
        <w:ind w:left="640" w:leftChars="200" w:firstLine="0" w:firstLineChars="0"/>
        <w:jc w:val="left"/>
        <w:textAlignment w:val="auto"/>
        <w:rPr>
          <w:rFonts w:hint="default" w:ascii="楷体_GB2312" w:hAnsi="楷体_GB2312" w:eastAsia="楷体_GB2312" w:cs="楷体_GB2312"/>
          <w:sz w:val="32"/>
          <w:szCs w:val="32"/>
        </w:rPr>
      </w:pPr>
      <w:r>
        <w:rPr>
          <w:rFonts w:ascii="楷体_GB2312" w:hAnsi="楷体_GB2312" w:eastAsia="楷体_GB2312" w:cs="楷体_GB2312"/>
          <w:sz w:val="32"/>
          <w:szCs w:val="32"/>
        </w:rPr>
        <w:t>第七章  附  则</w:t>
      </w:r>
    </w:p>
    <w:p>
      <w:pPr>
        <w:widowControl/>
        <w:jc w:val="left"/>
        <w:rPr>
          <w:rFonts w:ascii="黑体" w:hAnsi="黑体" w:eastAsia="黑体"/>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jc w:val="center"/>
        <w:textAlignment w:val="auto"/>
        <w:rPr>
          <w:rFonts w:ascii="黑体" w:hAnsi="黑体" w:eastAsia="黑体"/>
          <w:szCs w:val="32"/>
        </w:rPr>
      </w:pPr>
      <w:r>
        <w:rPr>
          <w:rFonts w:hint="eastAsia" w:ascii="黑体" w:hAnsi="黑体" w:eastAsia="黑体"/>
          <w:szCs w:val="32"/>
        </w:rPr>
        <w:br w:type="page"/>
      </w:r>
      <w:r>
        <w:rPr>
          <w:rFonts w:hint="eastAsia" w:ascii="黑体" w:hAnsi="黑体" w:eastAsia="黑体"/>
          <w:szCs w:val="32"/>
        </w:rPr>
        <w:t>第一章  总  则</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jc w:val="center"/>
        <w:textAlignment w:val="auto"/>
        <w:rPr>
          <w:rFonts w:ascii="宋体" w:hAnsi="宋体" w:cs="宋体"/>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jc w:val="left"/>
        <w:textAlignment w:val="auto"/>
        <w:rPr>
          <w:rFonts w:ascii="仿宋_GB2312" w:hAnsi="仿宋" w:cs="楷体"/>
          <w:szCs w:val="32"/>
        </w:rPr>
      </w:pPr>
      <w:r>
        <w:rPr>
          <w:rFonts w:ascii="黑体" w:hAnsi="黑体" w:eastAsia="黑体"/>
          <w:szCs w:val="32"/>
        </w:rPr>
        <w:t>第一条</w:t>
      </w:r>
      <w:r>
        <w:rPr>
          <w:rFonts w:ascii="仿宋_GB2312"/>
          <w:szCs w:val="32"/>
        </w:rPr>
        <w:t xml:space="preserve">  </w:t>
      </w:r>
      <w:r>
        <w:rPr>
          <w:rFonts w:hint="eastAsia" w:ascii="仿宋_GB2312" w:hAnsi="仿宋" w:cs="楷体"/>
          <w:szCs w:val="32"/>
        </w:rPr>
        <w:t>为了加强燃气管理，保障公民生命、财产安全和公共安全，维护燃气经营者和燃气用户的合法权益，根据国务院《城镇燃气管理条例》和有关法律、法规的规定，结合本市实际，制定本条例。</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jc w:val="left"/>
        <w:textAlignment w:val="auto"/>
        <w:rPr>
          <w:rFonts w:ascii="仿宋_GB2312"/>
          <w:szCs w:val="32"/>
        </w:rPr>
      </w:pPr>
      <w:r>
        <w:rPr>
          <w:rFonts w:hint="eastAsia" w:ascii="黑体" w:hAnsi="黑体" w:eastAsia="黑体"/>
          <w:szCs w:val="32"/>
        </w:rPr>
        <w:t>第二条</w:t>
      </w:r>
      <w:r>
        <w:rPr>
          <w:rFonts w:hint="eastAsia" w:ascii="仿宋_GB2312"/>
          <w:b/>
          <w:szCs w:val="32"/>
        </w:rPr>
        <w:t xml:space="preserve">  </w:t>
      </w:r>
      <w:r>
        <w:rPr>
          <w:rFonts w:hint="eastAsia" w:ascii="仿宋_GB2312"/>
          <w:szCs w:val="32"/>
        </w:rPr>
        <w:t>本条例所称燃气，是指作为燃料使用并符合一定要求的气体燃料，包括天然气、液化石油气和人工煤气等。</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第三条</w:t>
      </w:r>
      <w:r>
        <w:rPr>
          <w:sz w:val="32"/>
          <w:szCs w:val="32"/>
        </w:rPr>
        <w:t xml:space="preserve">  </w:t>
      </w:r>
      <w:r>
        <w:rPr>
          <w:rFonts w:hAnsi="仿宋" w:cs="楷体"/>
          <w:sz w:val="32"/>
          <w:szCs w:val="32"/>
        </w:rPr>
        <w:t>本市行</w:t>
      </w:r>
      <w:bookmarkStart w:id="0" w:name="_GoBack"/>
      <w:bookmarkEnd w:id="0"/>
      <w:r>
        <w:rPr>
          <w:rFonts w:hAnsi="仿宋" w:cs="楷体"/>
          <w:sz w:val="32"/>
          <w:szCs w:val="32"/>
        </w:rPr>
        <w:t>政区域内燃气发展规划、燃气设施建设与保护、燃气经营与服务、燃气使用与器具管理、燃气安全应急处置及相关管理活动，适用本条例。</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天然气、液化石油气的生产，城市门站以外的天然气管道输送，燃气作为工业生产原料的使用，以及沼气、秸秆气的生产和使用，不适用本条例。</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 xml:space="preserve">第四条 </w:t>
      </w:r>
      <w:r>
        <w:rPr>
          <w:rFonts w:hint="eastAsia" w:ascii="仿宋_GB2312"/>
          <w:b/>
          <w:color w:val="000000"/>
          <w:szCs w:val="32"/>
        </w:rPr>
        <w:t xml:space="preserve"> </w:t>
      </w:r>
      <w:r>
        <w:rPr>
          <w:rFonts w:hint="eastAsia" w:ascii="仿宋_GB2312" w:hAnsi="仿宋" w:cs="楷体"/>
          <w:szCs w:val="32"/>
        </w:rPr>
        <w:t>燃气工作应当遵循统筹规划、配套建设、安全高效、规范服务、节能环保的原则。</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 xml:space="preserve">第五条  </w:t>
      </w:r>
      <w:r>
        <w:rPr>
          <w:rFonts w:hint="eastAsia" w:ascii="仿宋_GB2312" w:hAnsi="仿宋" w:cs="仿宋"/>
          <w:szCs w:val="32"/>
        </w:rPr>
        <w:t>市、县（区）</w:t>
      </w:r>
      <w:r>
        <w:rPr>
          <w:rFonts w:hint="eastAsia" w:ascii="仿宋_GB2312" w:hAnsi="仿宋" w:cs="楷体"/>
          <w:szCs w:val="32"/>
        </w:rPr>
        <w:t>人民政府（含经济开发区、风景名胜区、工业园区，下同）应当加强对燃气工作的领导，将燃气工作纳入国民经济和社会发展规划，将燃气管理工作经费列入本级财政预算，建立燃气工作协调机制、燃气应急储备制度和燃气安全应急处置机制。</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第六条</w:t>
      </w:r>
      <w:r>
        <w:rPr>
          <w:rFonts w:hint="eastAsia" w:ascii="仿宋_GB2312" w:hAnsi="仿宋" w:cs="楷体"/>
          <w:szCs w:val="32"/>
        </w:rPr>
        <w:t xml:space="preserve">  市、县（区）人民政府</w:t>
      </w:r>
      <w:r>
        <w:rPr>
          <w:rFonts w:hint="eastAsia" w:ascii="仿宋_GB2312" w:hAnsi="仿宋" w:cs="楷体"/>
          <w:szCs w:val="32"/>
          <w:lang w:eastAsia="zh-CN"/>
        </w:rPr>
        <w:t>住房和城乡建设</w:t>
      </w:r>
      <w:r>
        <w:rPr>
          <w:rFonts w:hint="eastAsia" w:ascii="仿宋_GB2312" w:hAnsi="仿宋" w:cs="楷体"/>
          <w:szCs w:val="32"/>
        </w:rPr>
        <w:t>主管部门是本行政区域内的燃气主管部门，其所属的燃气管理机构负责本行政区域内燃气管理的具体工作。</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hint="eastAsia" w:ascii="仿宋_GB2312" w:hAnsi="仿宋" w:cs="楷体"/>
          <w:szCs w:val="32"/>
        </w:rPr>
      </w:pPr>
      <w:r>
        <w:rPr>
          <w:rFonts w:hint="eastAsia" w:ascii="仿宋_GB2312" w:hAnsi="仿宋" w:cs="楷体"/>
          <w:szCs w:val="32"/>
        </w:rPr>
        <w:t>发展改革、应急管理、自然资源、公安、市场监督管理、城市管理、生态环境、交通运输等部门应当依法履行各自职责，做好燃气管理的相关工作。</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color w:val="000000"/>
          <w:szCs w:val="32"/>
        </w:rPr>
        <w:t>市、县（区）人民政府燃气主管部门履行燃气安全工作监督管理责任，燃气经营者履行燃气安全工作主体责任。</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hAnsi="仿宋" w:cs="楷体"/>
          <w:szCs w:val="32"/>
        </w:rPr>
        <w:t>乡（镇）人民政府和街道办事处协助相关部门做好辖区内的燃气管理工作。</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第七条</w:t>
      </w:r>
      <w:r>
        <w:rPr>
          <w:rFonts w:hint="eastAsia" w:ascii="仿宋_GB2312" w:hAnsi="仿宋_GB2312" w:cs="仿宋_GB2312"/>
          <w:szCs w:val="32"/>
        </w:rPr>
        <w:t xml:space="preserve">  市、县（区）人民政府以及燃气主管部门应当定期开展燃气法律、法规宣传教育，普及燃气安全知识，增强社会公众燃气安全意识，提高防范和应对燃气事故能力。</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_GB2312" w:cs="仿宋_GB2312"/>
          <w:szCs w:val="32"/>
        </w:rPr>
      </w:pPr>
      <w:r>
        <w:rPr>
          <w:rFonts w:hint="eastAsia" w:ascii="仿宋_GB2312" w:hAnsi="仿宋_GB2312" w:cs="仿宋_GB2312"/>
          <w:szCs w:val="32"/>
        </w:rPr>
        <w:t>燃气经营者应当为用户提供燃气安全使用手册，宣传燃气安全使用、器具保养和事故紧急处置等常识。</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_GB2312" w:cs="仿宋_GB2312"/>
          <w:szCs w:val="32"/>
        </w:rPr>
      </w:pPr>
      <w:r>
        <w:rPr>
          <w:rFonts w:hint="eastAsia" w:ascii="仿宋_GB2312" w:hAnsi="仿宋_GB2312" w:cs="仿宋_GB2312"/>
          <w:szCs w:val="32"/>
        </w:rPr>
        <w:t>物业服务企业应当配合燃气主管部门和燃气经营者进行燃气安全宣传。</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_GB2312" w:cs="仿宋_GB2312"/>
          <w:szCs w:val="32"/>
        </w:rPr>
      </w:pPr>
      <w:r>
        <w:rPr>
          <w:rFonts w:hint="eastAsia" w:ascii="仿宋_GB2312" w:hAnsi="仿宋_GB2312" w:cs="仿宋_GB2312"/>
          <w:szCs w:val="32"/>
        </w:rPr>
        <w:t>广播、电视、报刊、网络等新闻媒体应当积极开展安全用气、节约用气和燃气设施保护等方面的公益宣传。</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_GB2312" w:cs="仿宋_GB2312"/>
          <w:szCs w:val="32"/>
        </w:rPr>
      </w:pPr>
      <w:r>
        <w:rPr>
          <w:rFonts w:hint="eastAsia" w:ascii="仿宋_GB2312" w:hAnsi="仿宋_GB2312" w:cs="仿宋_GB2312"/>
          <w:szCs w:val="32"/>
        </w:rPr>
        <w:t>学校应当将燃气安全教育纳入学生安全常识教育内容。</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_GB2312" w:cs="仿宋_GB2312"/>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jc w:val="center"/>
        <w:textAlignment w:val="auto"/>
        <w:rPr>
          <w:rFonts w:ascii="黑体" w:hAnsi="黑体" w:eastAsia="黑体"/>
          <w:szCs w:val="32"/>
        </w:rPr>
      </w:pPr>
      <w:r>
        <w:rPr>
          <w:rFonts w:hint="eastAsia" w:ascii="黑体" w:hAnsi="黑体" w:eastAsia="黑体"/>
          <w:szCs w:val="32"/>
        </w:rPr>
        <w:t>第二章  燃气发展规划与设施建设</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jc w:val="center"/>
        <w:textAlignment w:val="auto"/>
        <w:rPr>
          <w:rFonts w:ascii="宋体" w:hAnsi="宋体" w:cs="宋体"/>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 xml:space="preserve">第八条 </w:t>
      </w:r>
      <w:r>
        <w:rPr>
          <w:rFonts w:hint="eastAsia" w:ascii="仿宋_GB2312" w:cs="仿宋"/>
          <w:szCs w:val="32"/>
        </w:rPr>
        <w:t xml:space="preserve"> 市、县（区</w:t>
      </w:r>
      <w:r>
        <w:rPr>
          <w:rFonts w:hint="eastAsia" w:ascii="仿宋_GB2312" w:hAnsi="仿宋" w:cs="楷体"/>
          <w:szCs w:val="32"/>
        </w:rPr>
        <w:t>）人民政府燃气主管部门应当根据国民经济和社会发展规划、</w:t>
      </w:r>
      <w:r>
        <w:rPr>
          <w:rFonts w:hint="eastAsia" w:ascii="仿宋_GB2312" w:hAnsi="仿宋" w:cs="楷体"/>
          <w:szCs w:val="32"/>
          <w:lang w:eastAsia="zh-CN"/>
        </w:rPr>
        <w:t>国土空间</w:t>
      </w:r>
      <w:r>
        <w:rPr>
          <w:rFonts w:hint="eastAsia" w:ascii="仿宋_GB2312" w:hAnsi="仿宋" w:cs="楷体"/>
          <w:szCs w:val="32"/>
        </w:rPr>
        <w:t>规划、能源规划以及上一级燃气发展规划，会同有关部门组织编制本行政区域内的燃气发展规划，经本级人民政府批准后组织实施，并报上一级燃气主管部门备案。</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仿宋_GB2312"/>
          <w:szCs w:val="32"/>
        </w:rPr>
        <w:t>经批准的燃气发展规划，不得随意变更；确需修改的，应当按照原编制审批程序报送审批并备案。</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仿宋_GB2312"/>
          <w:szCs w:val="32"/>
        </w:rPr>
        <w:t>经批准的燃气发展规划应当向社会公布。</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第九条</w:t>
      </w:r>
      <w:r>
        <w:rPr>
          <w:rFonts w:hint="eastAsia" w:ascii="仿宋_GB2312" w:hAnsi="黑体"/>
          <w:szCs w:val="32"/>
        </w:rPr>
        <w:t xml:space="preserve">  </w:t>
      </w:r>
      <w:r>
        <w:rPr>
          <w:rFonts w:hint="eastAsia" w:ascii="仿宋_GB2312"/>
          <w:szCs w:val="32"/>
        </w:rPr>
        <w:t>燃气设施建设应当符合燃气发展规划，并在项目建设</w:t>
      </w:r>
      <w:r>
        <w:rPr>
          <w:rFonts w:hint="eastAsia" w:ascii="仿宋_GB2312" w:hAnsi="仿宋" w:cs="楷体"/>
          <w:szCs w:val="32"/>
        </w:rPr>
        <w:t>中办理相关许可。</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ascii="仿宋_GB2312"/>
          <w:szCs w:val="32"/>
        </w:rPr>
        <w:t>进行新区建设、旧区改造，应当按照市、县（区）</w:t>
      </w:r>
      <w:r>
        <w:rPr>
          <w:rFonts w:hint="eastAsia" w:ascii="仿宋_GB2312"/>
          <w:szCs w:val="32"/>
          <w:lang w:eastAsia="zh-CN"/>
        </w:rPr>
        <w:t>国土空间</w:t>
      </w:r>
      <w:r>
        <w:rPr>
          <w:rFonts w:ascii="仿宋_GB2312"/>
          <w:szCs w:val="32"/>
        </w:rPr>
        <w:t>规划和燃气发展规划配套建设燃气设施或者预留燃气设施建设用地。配套的燃气设施建设工程应当与主体工程同步设计、同步施工、同步验收、同步移交建设档案资料，建设费用由建设单位承担，计入工程建设成本。建设单位申请建设工程规划许可时，应当提交管道燃气工程总平面图和工程所在地管道燃气经营者确认的燃气管道线路衔接技术方案。</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 xml:space="preserve">第十条 </w:t>
      </w:r>
      <w:r>
        <w:rPr>
          <w:rFonts w:hAnsi="Arial" w:cs="Arial"/>
          <w:sz w:val="32"/>
          <w:szCs w:val="32"/>
        </w:rPr>
        <w:t xml:space="preserve"> 禁止在</w:t>
      </w:r>
      <w:r>
        <w:rPr>
          <w:rFonts w:hAnsi="仿宋" w:cs="楷体"/>
          <w:sz w:val="32"/>
          <w:szCs w:val="32"/>
        </w:rPr>
        <w:t>燃气管网已覆盖的区域新建小区气化站、瓶组站、发生炉煤气站等临时供气装置。原已建设仍在使用的临时供气装置应当逐步接入管道燃气管网。</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在燃气管网暂未覆盖的区域，建设单位可以依照本章规定建设小区气化站、瓶组站等临时供气装置，并应当委托燃气经营者进行供气和维护保养;燃气经营者应当定期检查气化站、瓶组站等临时供气装置，保证供气装置的安全使用。</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在具备管道燃气供气条件而尚未安装燃气管道的老旧住宅小区，逐步推广使用管道燃气。</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 xml:space="preserve">第十一条 </w:t>
      </w:r>
      <w:r>
        <w:rPr>
          <w:b/>
          <w:sz w:val="32"/>
          <w:szCs w:val="32"/>
        </w:rPr>
        <w:t xml:space="preserve"> </w:t>
      </w:r>
      <w:r>
        <w:rPr>
          <w:rFonts w:hAnsi="仿宋" w:cs="楷体"/>
          <w:sz w:val="32"/>
          <w:szCs w:val="32"/>
        </w:rPr>
        <w:t>新建、改建、扩建用于生产、储存、装卸燃气的设施建设工程应当进行安全评价，并按照国家安全评价标准进行验收。</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新建、改建、扩建燃气设施建设工程，</w:t>
      </w:r>
      <w:r>
        <w:rPr>
          <w:rFonts w:hint="eastAsia" w:hAnsi="仿宋" w:cs="楷体"/>
          <w:sz w:val="32"/>
          <w:szCs w:val="32"/>
          <w:lang w:eastAsia="zh-CN"/>
        </w:rPr>
        <w:t>自然资源</w:t>
      </w:r>
      <w:r>
        <w:rPr>
          <w:rFonts w:hAnsi="仿宋" w:cs="楷体"/>
          <w:sz w:val="32"/>
          <w:szCs w:val="32"/>
        </w:rPr>
        <w:t>主管部门在依法核发选址意见书时，应当就燃气设施建设是否符合燃气发展规划征求燃气主管部门的意见；不需要核发选址意见书的，</w:t>
      </w:r>
      <w:r>
        <w:rPr>
          <w:rFonts w:hint="eastAsia" w:hAnsi="仿宋" w:cs="楷体"/>
          <w:sz w:val="32"/>
          <w:szCs w:val="32"/>
          <w:lang w:eastAsia="zh-CN"/>
        </w:rPr>
        <w:t>自然资源</w:t>
      </w:r>
      <w:r>
        <w:rPr>
          <w:rFonts w:hAnsi="仿宋" w:cs="楷体"/>
          <w:sz w:val="32"/>
          <w:szCs w:val="32"/>
        </w:rPr>
        <w:t>主管部门在依法核发建设用地规划许可证或者乡村建设规划许可证时，应当就燃气设施建设是否符合燃气发展规划征求燃气主管部门的意见。</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第十二条</w:t>
      </w:r>
      <w:r>
        <w:rPr>
          <w:rFonts w:hAnsi="黑体"/>
          <w:sz w:val="32"/>
          <w:szCs w:val="32"/>
        </w:rPr>
        <w:t xml:space="preserve">  </w:t>
      </w:r>
      <w:r>
        <w:rPr>
          <w:rFonts w:hAnsi="仿宋" w:cs="楷体"/>
          <w:sz w:val="32"/>
          <w:szCs w:val="32"/>
        </w:rPr>
        <w:t>燃气设施建设工程的勘察、设计、施工、监理和安全评价单位，应当具备相应资质等级，并将有关资料送燃气主管部门核实登记。</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第十三条</w:t>
      </w:r>
      <w:r>
        <w:rPr>
          <w:rFonts w:hAnsi="黑体"/>
          <w:sz w:val="32"/>
          <w:szCs w:val="32"/>
        </w:rPr>
        <w:t xml:space="preserve">  </w:t>
      </w:r>
      <w:r>
        <w:rPr>
          <w:rFonts w:hAnsi="仿宋" w:cs="楷体"/>
          <w:sz w:val="32"/>
          <w:szCs w:val="32"/>
        </w:rPr>
        <w:t>燃气设施建设工程竣工后，建设单位应当依法组织竣工验收，未经验收或者验收不合格的，不得交付使用。不得将不合格的燃气设施建设工程按照合格工程验收。</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燃气设施建设工程自竣工验收合格之日起十五日内，建设单位应当将竣工验收情况报燃气主管部门备案，并在三个月内向城建档案管理机构移交建设项目档案。</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jc w:val="center"/>
        <w:textAlignment w:val="auto"/>
        <w:rPr>
          <w:rFonts w:ascii="黑体" w:hAnsi="黑体" w:eastAsia="黑体"/>
          <w:szCs w:val="32"/>
        </w:rPr>
      </w:pPr>
      <w:r>
        <w:rPr>
          <w:rFonts w:hint="eastAsia" w:ascii="黑体" w:hAnsi="黑体" w:eastAsia="黑体"/>
          <w:szCs w:val="32"/>
        </w:rPr>
        <w:t>第三章  燃气经营与服务</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ascii="黑体" w:hAnsi="黑体" w:eastAsia="黑体" w:cs="黑体"/>
          <w:sz w:val="32"/>
          <w:szCs w:val="32"/>
        </w:rPr>
      </w:pP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 xml:space="preserve">第十四条  </w:t>
      </w:r>
      <w:r>
        <w:rPr>
          <w:rFonts w:hAnsi="仿宋" w:cs="楷体"/>
          <w:sz w:val="32"/>
          <w:szCs w:val="32"/>
        </w:rPr>
        <w:t>从事燃气经营活动的，应当符合国务院《城镇燃气管理条例》规定的条件，并依法取得燃气经营许可证。</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燃气经营许可证有效期为三年，经营许可期限届满九十日前，燃气经营者应当向原发证机关申请延续行政许可。原发证机关应当在有效期届满三十日前作出是否准予延续的决定。</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第十五条</w:t>
      </w:r>
      <w:r>
        <w:rPr>
          <w:rFonts w:hAnsi="仿宋" w:cs="仿宋"/>
          <w:b/>
          <w:sz w:val="32"/>
          <w:szCs w:val="32"/>
        </w:rPr>
        <w:t xml:space="preserve"> </w:t>
      </w:r>
      <w:r>
        <w:rPr>
          <w:rFonts w:hAnsi="仿宋" w:cs="仿宋"/>
          <w:sz w:val="32"/>
          <w:szCs w:val="32"/>
        </w:rPr>
        <w:t xml:space="preserve"> </w:t>
      </w:r>
      <w:r>
        <w:rPr>
          <w:rFonts w:hAnsi="仿宋" w:cs="楷体"/>
          <w:sz w:val="32"/>
          <w:szCs w:val="32"/>
        </w:rPr>
        <w:t>市、县（区）人民政府对本行政区域内的市政公用管道燃气实行特许经营的，应当按照下列程序规定</w:t>
      </w:r>
      <w:r>
        <w:rPr>
          <w:rFonts w:hAnsi="仿宋" w:cs="仿宋"/>
          <w:color w:val="000000"/>
          <w:kern w:val="0"/>
          <w:sz w:val="32"/>
          <w:szCs w:val="32"/>
        </w:rPr>
        <w:t>授</w:t>
      </w:r>
      <w:r>
        <w:rPr>
          <w:rFonts w:hAnsi="仿宋" w:cs="楷体"/>
          <w:sz w:val="32"/>
          <w:szCs w:val="32"/>
        </w:rPr>
        <w:t>予特许经营权：</w:t>
      </w:r>
    </w:p>
    <w:p>
      <w:pPr>
        <w:pStyle w:val="8"/>
        <w:keepNext w:val="0"/>
        <w:keepLines w:val="0"/>
        <w:pageBreakBefore w:val="0"/>
        <w:widowControl w:val="0"/>
        <w:numPr>
          <w:ilvl w:val="0"/>
          <w:numId w:val="1"/>
        </w:numPr>
        <w:kinsoku/>
        <w:wordWrap/>
        <w:overflowPunct/>
        <w:topLinePunct w:val="0"/>
        <w:autoSpaceDE w:val="0"/>
        <w:autoSpaceDN/>
        <w:bidi w:val="0"/>
        <w:adjustRightInd w:val="0"/>
        <w:snapToGrid w:val="0"/>
        <w:spacing w:line="560" w:lineRule="exact"/>
        <w:ind w:left="0" w:leftChars="0" w:firstLine="640" w:firstLineChars="200"/>
        <w:textAlignment w:val="auto"/>
        <w:rPr>
          <w:rFonts w:hint="default" w:hAnsi="仿宋" w:cs="楷体"/>
          <w:sz w:val="32"/>
          <w:szCs w:val="32"/>
        </w:rPr>
      </w:pPr>
      <w:r>
        <w:rPr>
          <w:rFonts w:hAnsi="仿宋" w:cs="楷体"/>
          <w:sz w:val="32"/>
          <w:szCs w:val="32"/>
        </w:rPr>
        <w:t>燃气主管部门提出市政公用管道燃气特许经营项目；</w:t>
      </w:r>
    </w:p>
    <w:p>
      <w:pPr>
        <w:pStyle w:val="8"/>
        <w:keepNext w:val="0"/>
        <w:keepLines w:val="0"/>
        <w:pageBreakBefore w:val="0"/>
        <w:widowControl w:val="0"/>
        <w:numPr>
          <w:ilvl w:val="0"/>
          <w:numId w:val="1"/>
        </w:numPr>
        <w:kinsoku/>
        <w:wordWrap/>
        <w:overflowPunct/>
        <w:topLinePunct w:val="0"/>
        <w:autoSpaceDE w:val="0"/>
        <w:autoSpaceDN/>
        <w:bidi w:val="0"/>
        <w:adjustRightInd w:val="0"/>
        <w:snapToGrid w:val="0"/>
        <w:spacing w:line="560" w:lineRule="exact"/>
        <w:ind w:left="0" w:leftChars="0" w:firstLine="640" w:firstLineChars="200"/>
        <w:textAlignment w:val="auto"/>
        <w:rPr>
          <w:rFonts w:hint="default" w:hAnsi="仿宋" w:cs="楷体"/>
          <w:sz w:val="32"/>
          <w:szCs w:val="32"/>
        </w:rPr>
      </w:pPr>
      <w:r>
        <w:rPr>
          <w:rFonts w:hAnsi="仿宋" w:cs="楷体"/>
          <w:sz w:val="32"/>
          <w:szCs w:val="32"/>
        </w:rPr>
        <w:t>市、县（区）人民政府对市政公用管道燃气特许经营项目进行批准；</w:t>
      </w:r>
    </w:p>
    <w:p>
      <w:pPr>
        <w:pStyle w:val="8"/>
        <w:keepNext w:val="0"/>
        <w:keepLines w:val="0"/>
        <w:pageBreakBefore w:val="0"/>
        <w:widowControl w:val="0"/>
        <w:numPr>
          <w:ilvl w:val="0"/>
          <w:numId w:val="1"/>
        </w:numPr>
        <w:kinsoku/>
        <w:wordWrap/>
        <w:overflowPunct/>
        <w:topLinePunct w:val="0"/>
        <w:autoSpaceDE w:val="0"/>
        <w:autoSpaceDN/>
        <w:bidi w:val="0"/>
        <w:adjustRightInd w:val="0"/>
        <w:snapToGrid w:val="0"/>
        <w:spacing w:line="560" w:lineRule="exact"/>
        <w:ind w:left="0" w:leftChars="0" w:firstLine="640" w:firstLineChars="200"/>
        <w:textAlignment w:val="auto"/>
        <w:rPr>
          <w:rFonts w:hint="default" w:hAnsi="仿宋" w:cs="楷体"/>
          <w:sz w:val="32"/>
          <w:szCs w:val="32"/>
        </w:rPr>
      </w:pPr>
      <w:r>
        <w:rPr>
          <w:rFonts w:hAnsi="仿宋" w:cs="楷体"/>
          <w:sz w:val="32"/>
          <w:szCs w:val="32"/>
        </w:rPr>
        <w:t>燃气主管部门将市、县（区）人民政府批准的市政公用管道燃气特许经营项目进行公开招标，确定特许经营者。</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取得市政公用管道燃气特许经营权的经营者应当与燃气主管部门签订特许经营协议。</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第十六条</w:t>
      </w:r>
      <w:r>
        <w:rPr>
          <w:rFonts w:hAnsi="仿宋" w:cs="楷体"/>
          <w:sz w:val="32"/>
          <w:szCs w:val="32"/>
        </w:rPr>
        <w:t xml:space="preserve">  燃气主管部门应当加强对市政公用管道燃气特许经营者的监督管理，市政公用管道燃气特许经营者存在下列行为之一的，燃气主管部门报本级人民政府批准，可以终止特许经营权：</w:t>
      </w:r>
      <w:r>
        <w:rPr>
          <w:rFonts w:hAnsi="仿宋" w:cs="楷体"/>
          <w:b/>
          <w:bCs/>
          <w:sz w:val="22"/>
          <w:szCs w:val="22"/>
        </w:rPr>
        <w:t xml:space="preserve"> </w:t>
      </w:r>
    </w:p>
    <w:p>
      <w:pPr>
        <w:keepNext w:val="0"/>
        <w:keepLines w:val="0"/>
        <w:pageBreakBefore w:val="0"/>
        <w:widowControl w:val="0"/>
        <w:numPr>
          <w:ilvl w:val="0"/>
          <w:numId w:val="2"/>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未按照燃气发展规划配套建设燃气设施，燃气主管部门要求整改而拒不整改的；</w:t>
      </w:r>
    </w:p>
    <w:p>
      <w:pPr>
        <w:keepNext w:val="0"/>
        <w:keepLines w:val="0"/>
        <w:pageBreakBefore w:val="0"/>
        <w:widowControl w:val="0"/>
        <w:numPr>
          <w:ilvl w:val="0"/>
          <w:numId w:val="2"/>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无正当理由，在管网覆盖区域内拒绝发展用户的；</w:t>
      </w:r>
    </w:p>
    <w:p>
      <w:pPr>
        <w:keepNext w:val="0"/>
        <w:keepLines w:val="0"/>
        <w:pageBreakBefore w:val="0"/>
        <w:widowControl w:val="0"/>
        <w:numPr>
          <w:ilvl w:val="0"/>
          <w:numId w:val="2"/>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因管理不善，发生重大生产安全事故的；</w:t>
      </w:r>
    </w:p>
    <w:p>
      <w:pPr>
        <w:keepNext w:val="0"/>
        <w:keepLines w:val="0"/>
        <w:pageBreakBefore w:val="0"/>
        <w:widowControl w:val="0"/>
        <w:numPr>
          <w:ilvl w:val="0"/>
          <w:numId w:val="2"/>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未经批准或者未履行告知义务，擅自停止供气、停业、歇业，影响公共利益和安全以及用户合法权益，造成重大损失的。</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 xml:space="preserve">第十七条 </w:t>
      </w:r>
      <w:r>
        <w:rPr>
          <w:rFonts w:ascii="黑体" w:hAnsi="黑体" w:eastAsia="黑体"/>
          <w:sz w:val="32"/>
          <w:szCs w:val="32"/>
        </w:rPr>
        <w:t xml:space="preserve"> </w:t>
      </w:r>
      <w:r>
        <w:rPr>
          <w:rFonts w:hAnsi="仿宋" w:cs="楷体"/>
          <w:sz w:val="32"/>
          <w:szCs w:val="32"/>
        </w:rPr>
        <w:t>燃气经营者应当遵守下列规定：</w:t>
      </w:r>
    </w:p>
    <w:p>
      <w:pPr>
        <w:pStyle w:val="8"/>
        <w:keepNext w:val="0"/>
        <w:keepLines w:val="0"/>
        <w:pageBreakBefore w:val="0"/>
        <w:widowControl w:val="0"/>
        <w:numPr>
          <w:ilvl w:val="0"/>
          <w:numId w:val="3"/>
        </w:numPr>
        <w:kinsoku/>
        <w:wordWrap/>
        <w:overflowPunct/>
        <w:topLinePunct w:val="0"/>
        <w:autoSpaceDE w:val="0"/>
        <w:autoSpaceDN/>
        <w:bidi w:val="0"/>
        <w:adjustRightInd w:val="0"/>
        <w:snapToGrid w:val="0"/>
        <w:spacing w:line="560" w:lineRule="exact"/>
        <w:ind w:left="0" w:leftChars="0" w:firstLine="640" w:firstLineChars="200"/>
        <w:textAlignment w:val="auto"/>
        <w:rPr>
          <w:rFonts w:hint="default" w:hAnsi="仿宋" w:cs="楷体"/>
          <w:sz w:val="32"/>
          <w:szCs w:val="32"/>
        </w:rPr>
      </w:pPr>
      <w:r>
        <w:rPr>
          <w:rFonts w:hAnsi="仿宋" w:cs="楷体"/>
          <w:sz w:val="32"/>
          <w:szCs w:val="32"/>
        </w:rPr>
        <w:t xml:space="preserve">建立并实施安全管理制度； </w:t>
      </w:r>
    </w:p>
    <w:p>
      <w:pPr>
        <w:pStyle w:val="8"/>
        <w:keepNext w:val="0"/>
        <w:keepLines w:val="0"/>
        <w:pageBreakBefore w:val="0"/>
        <w:widowControl w:val="0"/>
        <w:numPr>
          <w:ilvl w:val="0"/>
          <w:numId w:val="3"/>
        </w:numPr>
        <w:kinsoku/>
        <w:wordWrap/>
        <w:overflowPunct/>
        <w:topLinePunct w:val="0"/>
        <w:autoSpaceDE w:val="0"/>
        <w:autoSpaceDN/>
        <w:bidi w:val="0"/>
        <w:adjustRightInd w:val="0"/>
        <w:snapToGrid w:val="0"/>
        <w:spacing w:line="560" w:lineRule="exact"/>
        <w:ind w:left="0" w:leftChars="0" w:firstLine="640" w:firstLineChars="200"/>
        <w:textAlignment w:val="auto"/>
        <w:rPr>
          <w:rFonts w:hint="default" w:hAnsi="仿宋" w:cs="楷体"/>
          <w:sz w:val="32"/>
          <w:szCs w:val="32"/>
        </w:rPr>
      </w:pPr>
      <w:r>
        <w:rPr>
          <w:rFonts w:hAnsi="仿宋" w:cs="楷体"/>
          <w:sz w:val="32"/>
          <w:szCs w:val="32"/>
        </w:rPr>
        <w:t>建立健全燃气用户服务档案，</w:t>
      </w:r>
      <w:r>
        <w:rPr>
          <w:rFonts w:hint="eastAsia" w:ascii="仿宋_GB2312" w:eastAsia="仿宋_GB2312"/>
          <w:color w:val="000000"/>
          <w:sz w:val="32"/>
          <w:szCs w:val="32"/>
        </w:rPr>
        <w:t>对燃气用户的燃气设施定期进行安全检查</w:t>
      </w:r>
      <w:r>
        <w:rPr>
          <w:rFonts w:hint="eastAsia"/>
          <w:color w:val="000000"/>
          <w:sz w:val="32"/>
          <w:szCs w:val="32"/>
          <w:lang w:eastAsia="zh-CN"/>
        </w:rPr>
        <w:t>，</w:t>
      </w:r>
      <w:r>
        <w:rPr>
          <w:rFonts w:hAnsi="仿宋" w:cs="楷体"/>
          <w:sz w:val="32"/>
          <w:szCs w:val="32"/>
        </w:rPr>
        <w:t>按照国家有关燃气服务标准向用户提供服务，在服务营业场所公告业务流程、服务承诺、服务项目、收费标准和服务热线等信息;</w:t>
      </w:r>
    </w:p>
    <w:p>
      <w:pPr>
        <w:pStyle w:val="8"/>
        <w:keepNext w:val="0"/>
        <w:keepLines w:val="0"/>
        <w:pageBreakBefore w:val="0"/>
        <w:widowControl w:val="0"/>
        <w:numPr>
          <w:ilvl w:val="0"/>
          <w:numId w:val="3"/>
        </w:numPr>
        <w:kinsoku/>
        <w:wordWrap/>
        <w:overflowPunct/>
        <w:topLinePunct w:val="0"/>
        <w:autoSpaceDE w:val="0"/>
        <w:autoSpaceDN/>
        <w:bidi w:val="0"/>
        <w:adjustRightInd w:val="0"/>
        <w:snapToGrid w:val="0"/>
        <w:spacing w:line="560" w:lineRule="exact"/>
        <w:ind w:left="0" w:leftChars="0" w:firstLine="640" w:firstLineChars="200"/>
        <w:textAlignment w:val="auto"/>
        <w:rPr>
          <w:rFonts w:hint="default" w:hAnsi="仿宋" w:cs="楷体"/>
          <w:sz w:val="32"/>
          <w:szCs w:val="32"/>
        </w:rPr>
      </w:pPr>
      <w:r>
        <w:rPr>
          <w:rFonts w:hAnsi="仿宋" w:cs="楷体"/>
          <w:sz w:val="32"/>
          <w:szCs w:val="32"/>
        </w:rPr>
        <w:t xml:space="preserve">建立健全燃气质量检测制度，供气质量符合国家标准; </w:t>
      </w:r>
    </w:p>
    <w:p>
      <w:pPr>
        <w:keepNext w:val="0"/>
        <w:keepLines w:val="0"/>
        <w:pageBreakBefore w:val="0"/>
        <w:widowControl w:val="0"/>
        <w:numPr>
          <w:ilvl w:val="0"/>
          <w:numId w:val="3"/>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hint="eastAsia" w:ascii="仿宋_GB2312" w:hAnsi="仿宋"/>
          <w:szCs w:val="32"/>
        </w:rPr>
        <w:t>不得倒卖、抵押、出租、出借、转让、涂改燃气经营许可证;</w:t>
      </w:r>
    </w:p>
    <w:p>
      <w:pPr>
        <w:keepNext w:val="0"/>
        <w:keepLines w:val="0"/>
        <w:pageBreakBefore w:val="0"/>
        <w:widowControl w:val="0"/>
        <w:numPr>
          <w:ilvl w:val="0"/>
          <w:numId w:val="3"/>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不得向未取得燃气经营许可证的经营者提供用于经营的燃气;</w:t>
      </w:r>
    </w:p>
    <w:p>
      <w:pPr>
        <w:keepNext w:val="0"/>
        <w:keepLines w:val="0"/>
        <w:pageBreakBefore w:val="0"/>
        <w:widowControl w:val="0"/>
        <w:numPr>
          <w:ilvl w:val="0"/>
          <w:numId w:val="3"/>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不得强制用户购买其指定的产品或者接受其提供的服务;</w:t>
      </w:r>
    </w:p>
    <w:p>
      <w:pPr>
        <w:keepNext w:val="0"/>
        <w:keepLines w:val="0"/>
        <w:pageBreakBefore w:val="0"/>
        <w:widowControl w:val="0"/>
        <w:numPr>
          <w:ilvl w:val="0"/>
          <w:numId w:val="3"/>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法律、法规作出的其他规定。</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szCs w:val="32"/>
        </w:rPr>
      </w:pPr>
      <w:r>
        <w:rPr>
          <w:rFonts w:ascii="黑体" w:hAnsi="黑体" w:eastAsia="黑体"/>
          <w:szCs w:val="32"/>
        </w:rPr>
        <w:t>第十八条</w:t>
      </w:r>
      <w:r>
        <w:rPr>
          <w:rFonts w:hAnsi="仿宋" w:cs="楷体"/>
          <w:szCs w:val="32"/>
        </w:rPr>
        <w:t>　</w:t>
      </w:r>
      <w:r>
        <w:rPr>
          <w:rFonts w:ascii="仿宋_GB2312" w:hAnsi="仿宋"/>
          <w:szCs w:val="32"/>
        </w:rPr>
        <w:t>管道燃气经营者除遵守本条例第十</w:t>
      </w:r>
      <w:r>
        <w:rPr>
          <w:rFonts w:hint="eastAsia" w:ascii="仿宋_GB2312" w:hAnsi="仿宋"/>
          <w:szCs w:val="32"/>
        </w:rPr>
        <w:t>七</w:t>
      </w:r>
      <w:r>
        <w:rPr>
          <w:rFonts w:ascii="仿宋_GB2312" w:hAnsi="仿宋"/>
          <w:szCs w:val="32"/>
        </w:rPr>
        <w:t>条规定外，还应当遵守下列规定：</w:t>
      </w:r>
    </w:p>
    <w:p>
      <w:pPr>
        <w:keepNext w:val="0"/>
        <w:keepLines w:val="0"/>
        <w:pageBreakBefore w:val="0"/>
        <w:widowControl w:val="0"/>
        <w:numPr>
          <w:ilvl w:val="0"/>
          <w:numId w:val="4"/>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按照燃气发展规划和用户需求，制定年度计划，并向燃气主管部门报告计划实施情况；</w:t>
      </w:r>
    </w:p>
    <w:p>
      <w:pPr>
        <w:keepNext w:val="0"/>
        <w:keepLines w:val="0"/>
        <w:pageBreakBefore w:val="0"/>
        <w:widowControl w:val="0"/>
        <w:numPr>
          <w:ilvl w:val="0"/>
          <w:numId w:val="4"/>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公布管道燃气报装、改装条件，不得拒绝供气区域内符合用气条件的单位和个人的报装、改装申请;</w:t>
      </w:r>
    </w:p>
    <w:p>
      <w:pPr>
        <w:keepNext w:val="0"/>
        <w:keepLines w:val="0"/>
        <w:pageBreakBefore w:val="0"/>
        <w:widowControl w:val="0"/>
        <w:numPr>
          <w:ilvl w:val="0"/>
          <w:numId w:val="4"/>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在供气区域内向具备用气条件的单位和个人提供供气服务，并保证安全稳定供气；</w:t>
      </w:r>
    </w:p>
    <w:p>
      <w:pPr>
        <w:keepNext w:val="0"/>
        <w:keepLines w:val="0"/>
        <w:pageBreakBefore w:val="0"/>
        <w:widowControl w:val="0"/>
        <w:numPr>
          <w:ilvl w:val="0"/>
          <w:numId w:val="4"/>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设立并公布二十四小时用户服务电话，并通过网络、微信等平台为用户缴纳、查询燃气收费等提供便利化服务；</w:t>
      </w:r>
    </w:p>
    <w:p>
      <w:pPr>
        <w:keepNext w:val="0"/>
        <w:keepLines w:val="0"/>
        <w:pageBreakBefore w:val="0"/>
        <w:widowControl w:val="0"/>
        <w:numPr>
          <w:ilvl w:val="0"/>
          <w:numId w:val="4"/>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因施工、检修等原因需要临时调整供气量或者暂停供气的，应当将作业时间和影响区域提前七十二小时予以公告或者书面通知用户，并按照有关规定及时恢复正常供气；因突发事件影响供气的，应当采取紧急措施并及时通知用户；</w:t>
      </w:r>
    </w:p>
    <w:p>
      <w:pPr>
        <w:keepNext w:val="0"/>
        <w:keepLines w:val="0"/>
        <w:pageBreakBefore w:val="0"/>
        <w:widowControl w:val="0"/>
        <w:numPr>
          <w:ilvl w:val="0"/>
          <w:numId w:val="4"/>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因气源供应紧张确需限制用户用气量的，应当向燃气主管部门报告，并提前告知用户；</w:t>
      </w:r>
      <w:r>
        <w:rPr>
          <w:rFonts w:hint="eastAsia" w:ascii="仿宋_GB2312" w:hAnsi="仿宋"/>
          <w:szCs w:val="32"/>
        </w:rPr>
        <w:t> </w:t>
      </w:r>
    </w:p>
    <w:p>
      <w:pPr>
        <w:keepNext w:val="0"/>
        <w:keepLines w:val="0"/>
        <w:pageBreakBefore w:val="0"/>
        <w:widowControl w:val="0"/>
        <w:numPr>
          <w:ilvl w:val="0"/>
          <w:numId w:val="4"/>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建立燃气管网地理信息系统，每年向燃气主管部门和相关部门报送燃气管网设施现状图；</w:t>
      </w:r>
    </w:p>
    <w:p>
      <w:pPr>
        <w:keepNext w:val="0"/>
        <w:keepLines w:val="0"/>
        <w:pageBreakBefore w:val="0"/>
        <w:widowControl w:val="0"/>
        <w:numPr>
          <w:ilvl w:val="0"/>
          <w:numId w:val="4"/>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停业或者歇业</w:t>
      </w:r>
      <w:r>
        <w:rPr>
          <w:rFonts w:hint="eastAsia" w:ascii="仿宋_GB2312" w:hAnsi="仿宋"/>
          <w:szCs w:val="32"/>
        </w:rPr>
        <w:t>的</w:t>
      </w:r>
      <w:r>
        <w:rPr>
          <w:rFonts w:ascii="仿宋_GB2312" w:hAnsi="仿宋"/>
          <w:szCs w:val="32"/>
        </w:rPr>
        <w:t>，应当事先对其供气范围内的用户的正常用气作出妥善安排，并提前九十个工作日向所在地的县（区）燃气主管部门提出申请，经批准后，方可停业或者歇业；</w:t>
      </w:r>
    </w:p>
    <w:p>
      <w:pPr>
        <w:keepNext w:val="0"/>
        <w:keepLines w:val="0"/>
        <w:pageBreakBefore w:val="0"/>
        <w:widowControl w:val="0"/>
        <w:numPr>
          <w:ilvl w:val="0"/>
          <w:numId w:val="4"/>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szCs w:val="32"/>
        </w:rPr>
      </w:pPr>
      <w:r>
        <w:rPr>
          <w:rFonts w:ascii="仿宋_GB2312" w:hAnsi="仿宋"/>
          <w:szCs w:val="32"/>
        </w:rPr>
        <w:t>不得使用不符合国家标准、未经计量检定合格的计量装置。</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黑体" w:hAnsi="黑体" w:eastAsia="黑体"/>
          <w:szCs w:val="32"/>
        </w:rPr>
        <w:t>第十九条</w:t>
      </w:r>
      <w:r>
        <w:rPr>
          <w:rFonts w:hint="eastAsia" w:ascii="仿宋_GB2312" w:hAnsi="黑体"/>
          <w:szCs w:val="32"/>
        </w:rPr>
        <w:t xml:space="preserve">  </w:t>
      </w:r>
      <w:r>
        <w:rPr>
          <w:rFonts w:hint="eastAsia" w:ascii="仿宋_GB2312"/>
          <w:szCs w:val="32"/>
        </w:rPr>
        <w:t>瓶装液化石油气经营者除遵守本条例第十七条规定外，还应当遵守下列规定：</w:t>
      </w:r>
    </w:p>
    <w:p>
      <w:pPr>
        <w:keepNext w:val="0"/>
        <w:keepLines w:val="0"/>
        <w:pageBreakBefore w:val="0"/>
        <w:widowControl w:val="0"/>
        <w:numPr>
          <w:ilvl w:val="0"/>
          <w:numId w:val="5"/>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建立气瓶管理台账制度，对自有气瓶应当</w:t>
      </w:r>
      <w:r>
        <w:rPr>
          <w:rFonts w:hint="eastAsia" w:ascii="仿宋_GB2312"/>
          <w:szCs w:val="32"/>
          <w:lang w:eastAsia="zh-CN"/>
        </w:rPr>
        <w:t>设置</w:t>
      </w:r>
      <w:r>
        <w:rPr>
          <w:rFonts w:hint="eastAsia" w:ascii="仿宋_GB2312"/>
          <w:szCs w:val="32"/>
        </w:rPr>
        <w:t>权属单位标记，对进出站气瓶实行登记管理;</w:t>
      </w:r>
    </w:p>
    <w:p>
      <w:pPr>
        <w:keepNext w:val="0"/>
        <w:keepLines w:val="0"/>
        <w:pageBreakBefore w:val="0"/>
        <w:widowControl w:val="0"/>
        <w:numPr>
          <w:ilvl w:val="0"/>
          <w:numId w:val="5"/>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液化石油气充装重量符合国家标准，实行残液计量和退还制度；</w:t>
      </w:r>
    </w:p>
    <w:p>
      <w:pPr>
        <w:keepNext w:val="0"/>
        <w:keepLines w:val="0"/>
        <w:pageBreakBefore w:val="0"/>
        <w:widowControl w:val="0"/>
        <w:numPr>
          <w:ilvl w:val="0"/>
          <w:numId w:val="5"/>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做好气瓶充装前的检查，按照安全操作规程进行充装，并做好充装记录；不得为未经检验或者检验不合格的气瓶充气；</w:t>
      </w:r>
    </w:p>
    <w:p>
      <w:pPr>
        <w:keepNext w:val="0"/>
        <w:keepLines w:val="0"/>
        <w:pageBreakBefore w:val="0"/>
        <w:widowControl w:val="0"/>
        <w:numPr>
          <w:ilvl w:val="0"/>
          <w:numId w:val="5"/>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 xml:space="preserve">负责气瓶的维护、保养，并按照国家规定将气瓶送检验机构进行检验； </w:t>
      </w:r>
    </w:p>
    <w:p>
      <w:pPr>
        <w:keepNext w:val="0"/>
        <w:keepLines w:val="0"/>
        <w:pageBreakBefore w:val="0"/>
        <w:widowControl w:val="0"/>
        <w:numPr>
          <w:ilvl w:val="0"/>
          <w:numId w:val="5"/>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不得在不具备安全条件的场所储存燃气；</w:t>
      </w:r>
    </w:p>
    <w:p>
      <w:pPr>
        <w:keepNext w:val="0"/>
        <w:keepLines w:val="0"/>
        <w:pageBreakBefore w:val="0"/>
        <w:widowControl w:val="0"/>
        <w:numPr>
          <w:ilvl w:val="0"/>
          <w:numId w:val="5"/>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不得超过供应站等级规定的容积存放瓶装燃气;</w:t>
      </w:r>
    </w:p>
    <w:p>
      <w:pPr>
        <w:keepNext w:val="0"/>
        <w:keepLines w:val="0"/>
        <w:pageBreakBefore w:val="0"/>
        <w:widowControl w:val="0"/>
        <w:numPr>
          <w:ilvl w:val="0"/>
          <w:numId w:val="5"/>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 xml:space="preserve">配有符合规定的送气车辆和经培训合格的送气人员； </w:t>
      </w:r>
    </w:p>
    <w:p>
      <w:pPr>
        <w:keepNext w:val="0"/>
        <w:keepLines w:val="0"/>
        <w:pageBreakBefore w:val="0"/>
        <w:widowControl w:val="0"/>
        <w:numPr>
          <w:ilvl w:val="0"/>
          <w:numId w:val="5"/>
        </w:numPr>
        <w:kinsoku/>
        <w:wordWrap/>
        <w:overflowPunct/>
        <w:topLinePunct w:val="0"/>
        <w:autoSpaceDN/>
        <w:bidi w:val="0"/>
        <w:adjustRightInd w:val="0"/>
        <w:snapToGrid w:val="0"/>
        <w:spacing w:line="560" w:lineRule="exact"/>
        <w:ind w:left="0" w:leftChars="0" w:firstLine="640" w:firstLineChars="200"/>
        <w:textAlignment w:val="auto"/>
        <w:rPr>
          <w:rFonts w:hint="eastAsia" w:ascii="仿宋_GB2312"/>
          <w:szCs w:val="32"/>
          <w:lang w:eastAsia="zh-CN"/>
        </w:rPr>
      </w:pPr>
      <w:r>
        <w:rPr>
          <w:rFonts w:hint="eastAsia" w:ascii="仿宋_GB2312"/>
          <w:szCs w:val="32"/>
        </w:rPr>
        <w:t>不得超出经营许可规定的范围经营</w:t>
      </w:r>
      <w:r>
        <w:rPr>
          <w:rFonts w:hint="eastAsia" w:ascii="仿宋_GB2312"/>
          <w:szCs w:val="32"/>
          <w:lang w:eastAsia="zh-CN"/>
        </w:rPr>
        <w:t>；</w:t>
      </w:r>
    </w:p>
    <w:p>
      <w:pPr>
        <w:keepNext w:val="0"/>
        <w:keepLines w:val="0"/>
        <w:pageBreakBefore w:val="0"/>
        <w:widowControl w:val="0"/>
        <w:numPr>
          <w:ilvl w:val="0"/>
          <w:numId w:val="5"/>
        </w:numPr>
        <w:kinsoku/>
        <w:wordWrap/>
        <w:overflowPunct/>
        <w:topLinePunct w:val="0"/>
        <w:autoSpaceDN/>
        <w:bidi w:val="0"/>
        <w:adjustRightInd w:val="0"/>
        <w:snapToGrid w:val="0"/>
        <w:spacing w:line="560" w:lineRule="exact"/>
        <w:ind w:left="0" w:leftChars="0" w:firstLine="640" w:firstLineChars="200"/>
        <w:textAlignment w:val="auto"/>
        <w:rPr>
          <w:rFonts w:hint="eastAsia" w:ascii="仿宋_GB2312"/>
          <w:color w:val="000000"/>
          <w:sz w:val="32"/>
          <w:szCs w:val="32"/>
          <w:lang w:val="en-US" w:eastAsia="zh-CN"/>
        </w:rPr>
      </w:pPr>
      <w:r>
        <w:rPr>
          <w:rFonts w:hint="eastAsia" w:ascii="仿宋_GB2312" w:eastAsia="仿宋_GB2312"/>
          <w:color w:val="000000"/>
          <w:sz w:val="32"/>
          <w:szCs w:val="32"/>
          <w:lang w:val="en-US" w:eastAsia="zh-CN"/>
        </w:rPr>
        <w:t>不得销售违反国家有关气瓶安全监察规定充装的瓶装燃气</w:t>
      </w:r>
      <w:r>
        <w:rPr>
          <w:rFonts w:hint="eastAsia" w:ascii="仿宋_GB2312"/>
          <w:color w:val="000000"/>
          <w:sz w:val="32"/>
          <w:szCs w:val="32"/>
          <w:lang w:val="en-US" w:eastAsia="zh-CN"/>
        </w:rPr>
        <w:t>。</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黑体" w:hAnsi="黑体" w:eastAsia="黑体"/>
          <w:szCs w:val="32"/>
        </w:rPr>
        <w:t>第二十条</w:t>
      </w:r>
      <w:r>
        <w:rPr>
          <w:rFonts w:hint="eastAsia" w:ascii="仿宋_GB2312"/>
          <w:szCs w:val="32"/>
        </w:rPr>
        <w:t xml:space="preserve">  任何单位和个人不得利用气瓶倒灌方式充装瓶装液化石油气。</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黑体" w:hAnsi="黑体" w:eastAsia="黑体"/>
          <w:szCs w:val="32"/>
        </w:rPr>
        <w:t>第二十一条</w:t>
      </w:r>
      <w:r>
        <w:rPr>
          <w:rFonts w:hint="eastAsia" w:ascii="仿宋_GB2312"/>
          <w:szCs w:val="32"/>
        </w:rPr>
        <w:t xml:space="preserve">  车用燃气经营者除遵守本条例第十七条规定外，还应当遵守下列规定： </w:t>
      </w:r>
    </w:p>
    <w:p>
      <w:pPr>
        <w:keepNext w:val="0"/>
        <w:keepLines w:val="0"/>
        <w:pageBreakBefore w:val="0"/>
        <w:widowControl w:val="0"/>
        <w:numPr>
          <w:ilvl w:val="0"/>
          <w:numId w:val="6"/>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制定安全操作规程，指导用户遵守安全规定；</w:t>
      </w:r>
    </w:p>
    <w:p>
      <w:pPr>
        <w:keepNext w:val="0"/>
        <w:keepLines w:val="0"/>
        <w:pageBreakBefore w:val="0"/>
        <w:widowControl w:val="0"/>
        <w:numPr>
          <w:ilvl w:val="0"/>
          <w:numId w:val="6"/>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气瓶车或者槽车应当在划定的固定车位内停放，不得超过固定车位核定的容量;</w:t>
      </w:r>
    </w:p>
    <w:p>
      <w:pPr>
        <w:keepNext w:val="0"/>
        <w:keepLines w:val="0"/>
        <w:pageBreakBefore w:val="0"/>
        <w:widowControl w:val="0"/>
        <w:numPr>
          <w:ilvl w:val="0"/>
          <w:numId w:val="6"/>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 xml:space="preserve">定期检验燃气泄漏报警系统，不得在有燃气泄漏、燃气压力异常、附近发生火灾、雷击天气等不安全情况下进行加气或者卸气作业; </w:t>
      </w:r>
    </w:p>
    <w:p>
      <w:pPr>
        <w:keepNext w:val="0"/>
        <w:keepLines w:val="0"/>
        <w:pageBreakBefore w:val="0"/>
        <w:widowControl w:val="0"/>
        <w:numPr>
          <w:ilvl w:val="0"/>
          <w:numId w:val="6"/>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不得向无压力容器使用证或者与压力容器使用证登记信息不一致的汽车储气瓶(罐)加气;</w:t>
      </w:r>
    </w:p>
    <w:p>
      <w:pPr>
        <w:keepNext w:val="0"/>
        <w:keepLines w:val="0"/>
        <w:pageBreakBefore w:val="0"/>
        <w:widowControl w:val="0"/>
        <w:numPr>
          <w:ilvl w:val="0"/>
          <w:numId w:val="6"/>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不得向机动车储气瓶以外的其他气瓶或者装置加气。</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第二十二条</w:t>
      </w:r>
      <w:r>
        <w:rPr>
          <w:rFonts w:hint="eastAsia" w:ascii="仿宋_GB2312"/>
          <w:szCs w:val="32"/>
        </w:rPr>
        <w:t xml:space="preserve">  燃气的运输应当遵守国家和省有关危险货物运</w:t>
      </w:r>
      <w:r>
        <w:rPr>
          <w:rFonts w:hint="eastAsia" w:ascii="仿宋_GB2312" w:hAnsi="仿宋" w:cs="楷体"/>
          <w:szCs w:val="32"/>
        </w:rPr>
        <w:t>输安全的规定，使用符合国家技术规范要求的专用车辆，取得危险货物道路运输许可。</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黑体" w:hAnsi="黑体" w:eastAsia="黑体"/>
          <w:szCs w:val="32"/>
        </w:rPr>
        <w:t>第二十三条</w:t>
      </w:r>
      <w:r>
        <w:rPr>
          <w:rFonts w:hint="eastAsia" w:ascii="仿宋_GB2312"/>
          <w:szCs w:val="32"/>
        </w:rPr>
        <w:t xml:space="preserve">  </w:t>
      </w:r>
      <w:r>
        <w:rPr>
          <w:rFonts w:hint="eastAsia" w:ascii="仿宋_GB2312" w:hAnsi="仿宋" w:cs="楷体"/>
          <w:szCs w:val="32"/>
        </w:rPr>
        <w:t>管道燃气设施的维修费</w:t>
      </w:r>
      <w:r>
        <w:rPr>
          <w:rFonts w:hint="eastAsia" w:ascii="仿宋_GB2312"/>
          <w:szCs w:val="32"/>
        </w:rPr>
        <w:t>用按照下列规定承担：</w:t>
      </w:r>
    </w:p>
    <w:p>
      <w:pPr>
        <w:keepNext w:val="0"/>
        <w:keepLines w:val="0"/>
        <w:pageBreakBefore w:val="0"/>
        <w:widowControl w:val="0"/>
        <w:numPr>
          <w:ilvl w:val="0"/>
          <w:numId w:val="7"/>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居民用户：以计量表的表前阀为界，表前阀前（含表前阀）的由燃气经营者承担，表前阀后的由用户承担；</w:t>
      </w:r>
    </w:p>
    <w:p>
      <w:pPr>
        <w:keepNext w:val="0"/>
        <w:keepLines w:val="0"/>
        <w:pageBreakBefore w:val="0"/>
        <w:widowControl w:val="0"/>
        <w:numPr>
          <w:ilvl w:val="0"/>
          <w:numId w:val="7"/>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非居民用户：中压管道供气用户以城市燃气中压管道支线阀门为界，自燃气供应厂（站）至支线阀门以前的（含支线阀门）由燃气经营者承担，支线阀门以后的（含调压室、调压器）由用户承担；低压管道供气用户以围墙或者建筑物外缘为界，围墙或者建筑物以内的由用户承担。</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黑体" w:hAnsi="黑体" w:eastAsia="黑体"/>
          <w:szCs w:val="32"/>
        </w:rPr>
        <w:t>第二十四条</w:t>
      </w:r>
      <w:r>
        <w:rPr>
          <w:rFonts w:hint="eastAsia" w:ascii="仿宋_GB2312"/>
          <w:szCs w:val="32"/>
        </w:rPr>
        <w:t xml:space="preserve">  燃气经营者在抢修室内燃气设施时，用户应当配合抢修人员拆除影响抢修作业的装饰、装修物和其他构筑物。拆除的装饰、装修物和其他构筑物属于用户违反有关安全用气规定建设安装的，相关损失由用户承担，其他损失由燃气经营者承担。</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jc w:val="center"/>
        <w:textAlignment w:val="auto"/>
        <w:rPr>
          <w:szCs w:val="32"/>
        </w:rPr>
      </w:pPr>
      <w:r>
        <w:rPr>
          <w:rFonts w:hint="eastAsia" w:ascii="黑体" w:hAnsi="黑体" w:eastAsia="黑体"/>
          <w:szCs w:val="32"/>
        </w:rPr>
        <w:t>第四章  燃气使用与器具管理</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黑体" w:hAnsi="黑体" w:eastAsia="黑体"/>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黑体" w:hAnsi="黑体" w:eastAsia="黑体"/>
          <w:szCs w:val="32"/>
        </w:rPr>
        <w:t>第二十五条</w:t>
      </w:r>
      <w:r>
        <w:rPr>
          <w:rFonts w:hint="eastAsia" w:ascii="仿宋_GB2312"/>
          <w:szCs w:val="32"/>
        </w:rPr>
        <w:t xml:space="preserve">  燃气用户应当遵守法律、法规的规定和安全用气规则，不得有下列行为：</w:t>
      </w:r>
    </w:p>
    <w:p>
      <w:pPr>
        <w:keepNext w:val="0"/>
        <w:keepLines w:val="0"/>
        <w:pageBreakBefore w:val="0"/>
        <w:widowControl w:val="0"/>
        <w:numPr>
          <w:ilvl w:val="0"/>
          <w:numId w:val="8"/>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 xml:space="preserve">初装管道燃气用户未经燃气经营者验收合格自行开通点火； </w:t>
      </w:r>
    </w:p>
    <w:p>
      <w:pPr>
        <w:keepNext w:val="0"/>
        <w:keepLines w:val="0"/>
        <w:pageBreakBefore w:val="0"/>
        <w:widowControl w:val="0"/>
        <w:numPr>
          <w:ilvl w:val="0"/>
          <w:numId w:val="8"/>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使用不合格或者使用年限已届满的燃气燃烧器具、连接管等；</w:t>
      </w:r>
    </w:p>
    <w:p>
      <w:pPr>
        <w:keepNext w:val="0"/>
        <w:keepLines w:val="0"/>
        <w:pageBreakBefore w:val="0"/>
        <w:widowControl w:val="0"/>
        <w:numPr>
          <w:ilvl w:val="0"/>
          <w:numId w:val="8"/>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将安装有燃气设施的场所改为卧室、浴室等违反安全用气规定的场所；</w:t>
      </w:r>
    </w:p>
    <w:p>
      <w:pPr>
        <w:keepNext w:val="0"/>
        <w:keepLines w:val="0"/>
        <w:pageBreakBefore w:val="0"/>
        <w:widowControl w:val="0"/>
        <w:numPr>
          <w:ilvl w:val="0"/>
          <w:numId w:val="8"/>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在同一室内同时使用其他燃料；</w:t>
      </w:r>
    </w:p>
    <w:p>
      <w:pPr>
        <w:keepNext w:val="0"/>
        <w:keepLines w:val="0"/>
        <w:pageBreakBefore w:val="0"/>
        <w:widowControl w:val="0"/>
        <w:numPr>
          <w:ilvl w:val="0"/>
          <w:numId w:val="8"/>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将管道燃气设施砌入墙体或者采取可能影响管道燃气设施安全的其他方式遮盖、隐蔽管道燃气设施；</w:t>
      </w:r>
    </w:p>
    <w:p>
      <w:pPr>
        <w:keepNext w:val="0"/>
        <w:keepLines w:val="0"/>
        <w:pageBreakBefore w:val="0"/>
        <w:widowControl w:val="0"/>
        <w:numPr>
          <w:ilvl w:val="0"/>
          <w:numId w:val="8"/>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加热、摔砸、倒卧、曝晒气瓶或者改换气瓶检验标志、权属标志、钢印、漆色；</w:t>
      </w:r>
    </w:p>
    <w:p>
      <w:pPr>
        <w:keepNext w:val="0"/>
        <w:keepLines w:val="0"/>
        <w:pageBreakBefore w:val="0"/>
        <w:widowControl w:val="0"/>
        <w:numPr>
          <w:ilvl w:val="0"/>
          <w:numId w:val="8"/>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排放气瓶内燃气、残液；</w:t>
      </w:r>
    </w:p>
    <w:p>
      <w:pPr>
        <w:keepNext w:val="0"/>
        <w:keepLines w:val="0"/>
        <w:pageBreakBefore w:val="0"/>
        <w:widowControl w:val="0"/>
        <w:numPr>
          <w:ilvl w:val="0"/>
          <w:numId w:val="8"/>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改变燃气用途或者转供燃气；</w:t>
      </w:r>
    </w:p>
    <w:p>
      <w:pPr>
        <w:keepNext w:val="0"/>
        <w:keepLines w:val="0"/>
        <w:pageBreakBefore w:val="0"/>
        <w:widowControl w:val="0"/>
        <w:numPr>
          <w:ilvl w:val="0"/>
          <w:numId w:val="8"/>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擅自安装、改装、拆除户内燃气设施和燃气计量装置；</w:t>
      </w:r>
    </w:p>
    <w:p>
      <w:pPr>
        <w:keepNext w:val="0"/>
        <w:keepLines w:val="0"/>
        <w:pageBreakBefore w:val="0"/>
        <w:widowControl w:val="0"/>
        <w:numPr>
          <w:ilvl w:val="0"/>
          <w:numId w:val="8"/>
        </w:numPr>
        <w:kinsoku/>
        <w:wordWrap/>
        <w:overflowPunct/>
        <w:topLinePunct w:val="0"/>
        <w:autoSpaceDN/>
        <w:bidi w:val="0"/>
        <w:adjustRightInd w:val="0"/>
        <w:snapToGrid w:val="0"/>
        <w:spacing w:line="560" w:lineRule="exact"/>
        <w:ind w:left="0" w:leftChars="0" w:firstLine="640" w:firstLineChars="200"/>
        <w:textAlignment w:val="auto"/>
        <w:rPr>
          <w:rFonts w:ascii="仿宋_GB2312"/>
          <w:szCs w:val="32"/>
        </w:rPr>
      </w:pPr>
      <w:r>
        <w:rPr>
          <w:rFonts w:hint="eastAsia" w:ascii="仿宋_GB2312"/>
          <w:szCs w:val="32"/>
        </w:rPr>
        <w:t>使用明火检查泄漏。</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仿宋_GB2312"/>
          <w:szCs w:val="32"/>
        </w:rPr>
        <w:t>非居民用户应当遵守燃气安全管理制度，操作人员、管理人员应当接受安全生产教育和培训。</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黑体" w:hAnsi="黑体" w:eastAsia="黑体"/>
          <w:szCs w:val="32"/>
        </w:rPr>
        <w:t>第二十六条</w:t>
      </w:r>
      <w:r>
        <w:rPr>
          <w:rFonts w:hint="eastAsia" w:ascii="仿宋_GB2312"/>
          <w:b/>
          <w:szCs w:val="32"/>
        </w:rPr>
        <w:t xml:space="preserve">  </w:t>
      </w:r>
      <w:r>
        <w:rPr>
          <w:rFonts w:hint="eastAsia" w:ascii="仿宋_GB2312"/>
          <w:szCs w:val="32"/>
        </w:rPr>
        <w:t>餐饮行业燃气用户除遵守本条例第二十五条规定外，还应当遵守下列规定：</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仿宋_GB2312"/>
          <w:szCs w:val="32"/>
        </w:rPr>
        <w:t>（一）不得在地下室、人员密集场所的用餐区、城区范围内建筑面积三百平方米以上餐饮场所的厨房等不具备安全条件的场所使用瓶装燃气；</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仿宋_GB2312"/>
          <w:szCs w:val="32"/>
        </w:rPr>
        <w:t>（二）使用瓶装燃气应当与燃气经营者签订安全供气合同，并留存购气凭证；</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hAnsi="仿宋" w:cs="楷体"/>
          <w:b/>
          <w:bCs/>
          <w:sz w:val="22"/>
          <w:szCs w:val="22"/>
        </w:rPr>
      </w:pPr>
      <w:r>
        <w:rPr>
          <w:rFonts w:hint="eastAsia" w:ascii="仿宋_GB2312"/>
          <w:szCs w:val="32"/>
        </w:rPr>
        <w:t>（三）安装燃气泄漏报警装置，配备干粉灭火器等能保证正常使用的消防器材；</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仿宋_GB2312"/>
          <w:szCs w:val="32"/>
        </w:rPr>
        <w:t>（四）定期进行燃气安全检查，做好检查记录，并制定燃气安全应急处置方案。</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第二十七条</w:t>
      </w:r>
      <w:r>
        <w:rPr>
          <w:rFonts w:hint="eastAsia" w:ascii="仿宋_GB2312" w:hAnsi="Arial" w:cs="Arial"/>
          <w:szCs w:val="32"/>
        </w:rPr>
        <w:t xml:space="preserve"> </w:t>
      </w:r>
      <w:r>
        <w:rPr>
          <w:rFonts w:hint="eastAsia" w:ascii="仿宋_GB2312" w:hAnsi="Arial" w:cs="Arial"/>
          <w:color w:val="C00000"/>
          <w:szCs w:val="32"/>
        </w:rPr>
        <w:t xml:space="preserve"> </w:t>
      </w:r>
      <w:r>
        <w:rPr>
          <w:rFonts w:hint="eastAsia" w:ascii="仿宋_GB2312" w:hAnsi="仿宋" w:cs="楷体"/>
          <w:szCs w:val="32"/>
        </w:rPr>
        <w:t>管道燃气用户需要安装、改装、迁移、拆除户内燃气设施的，应当按照国家有关工程建设标准实施作业。</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_GB2312" w:cs="仿宋_GB2312"/>
          <w:szCs w:val="32"/>
        </w:rPr>
      </w:pPr>
      <w:r>
        <w:rPr>
          <w:rFonts w:hint="eastAsia" w:ascii="黑体" w:hAnsi="黑体" w:eastAsia="黑体"/>
          <w:szCs w:val="32"/>
        </w:rPr>
        <w:t>第二十八条</w:t>
      </w:r>
      <w:r>
        <w:rPr>
          <w:rFonts w:hint="eastAsia" w:ascii="仿宋_GB2312" w:hAnsi="仿宋_GB2312" w:cs="仿宋_GB2312"/>
          <w:szCs w:val="32"/>
        </w:rPr>
        <w:t>　在本市销售的燃气燃烧器具、家用燃气泄漏报警器和燃气泄漏安全保护装置及其附属设施，应当符合国家有关标准和规范。</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_GB2312" w:cs="仿宋_GB2312"/>
          <w:szCs w:val="32"/>
        </w:rPr>
      </w:pPr>
      <w:r>
        <w:rPr>
          <w:rFonts w:hint="eastAsia" w:ascii="仿宋_GB2312" w:hAnsi="仿宋_GB2312" w:cs="仿宋_GB2312"/>
          <w:szCs w:val="32"/>
        </w:rPr>
        <w:t>提倡居民用户使用家用燃气泄漏报警器。</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第二十九条</w:t>
      </w:r>
      <w:r>
        <w:rPr>
          <w:rFonts w:hint="eastAsia" w:ascii="仿宋_GB2312"/>
          <w:szCs w:val="32"/>
        </w:rPr>
        <w:t>　</w:t>
      </w:r>
      <w:r>
        <w:rPr>
          <w:rFonts w:hint="eastAsia" w:ascii="仿宋_GB2312" w:hAnsi="仿宋" w:cs="楷体"/>
          <w:szCs w:val="32"/>
        </w:rPr>
        <w:t>燃气燃烧器具生产单位、销售单位，应当设立或者委托设立售后服务站点，配备经考核合格的燃气燃烧器具安装、维修人员，负责售后安装、维修服务。</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第三十条</w:t>
      </w:r>
      <w:r>
        <w:rPr>
          <w:sz w:val="32"/>
          <w:szCs w:val="32"/>
        </w:rPr>
        <w:t xml:space="preserve">  </w:t>
      </w:r>
      <w:r>
        <w:rPr>
          <w:rFonts w:hAnsi="仿宋" w:cs="楷体"/>
          <w:sz w:val="32"/>
          <w:szCs w:val="32"/>
        </w:rPr>
        <w:t>燃气燃烧器具安装、维修企业应当加强燃气燃烧器具安装、维修质量管理，其安装、维修作业应当符合国家有关标准，不得安装不符合国家标准或者与气源不适配的燃气燃烧器具，不得维修达到报废年限的燃气燃烧器具。</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Arial" w:cs="Arial"/>
          <w:color w:val="000000"/>
          <w:sz w:val="32"/>
          <w:szCs w:val="32"/>
        </w:rPr>
      </w:pPr>
      <w:r>
        <w:rPr>
          <w:rFonts w:hAnsi="仿宋" w:cs="楷体"/>
          <w:sz w:val="32"/>
          <w:szCs w:val="32"/>
        </w:rPr>
        <w:t>燃气燃烧器具安装、维修企业应当建立健全用户档案，指导用户正确使用燃气燃烧器具。安装和维修人员在安装和维修燃气燃烧器具时，应当检查燃气燃烧器具是否属于合格产品。未经检验或者有质量问题可能危及使用安全的产品，不得接通燃气。</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jc w:val="center"/>
        <w:textAlignment w:val="auto"/>
        <w:rPr>
          <w:rFonts w:ascii="黑体" w:hAnsi="黑体" w:eastAsia="黑体"/>
          <w:szCs w:val="32"/>
        </w:rPr>
      </w:pPr>
      <w:r>
        <w:rPr>
          <w:rFonts w:hint="eastAsia" w:ascii="黑体" w:hAnsi="黑体" w:eastAsia="黑体"/>
          <w:szCs w:val="32"/>
        </w:rPr>
        <w:t>第五章  燃气安全管理与应急处置</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黑体" w:hAnsi="黑体" w:eastAsia="黑体"/>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szCs w:val="32"/>
        </w:rPr>
      </w:pPr>
      <w:r>
        <w:rPr>
          <w:rFonts w:hint="eastAsia" w:ascii="黑体" w:hAnsi="黑体" w:eastAsia="黑体"/>
          <w:szCs w:val="32"/>
        </w:rPr>
        <w:t>第三十一条</w:t>
      </w:r>
      <w:r>
        <w:rPr>
          <w:rFonts w:hint="eastAsia" w:ascii="仿宋_GB2312"/>
          <w:szCs w:val="32"/>
        </w:rPr>
        <w:t xml:space="preserve">  燃气管道设施的保护范围为：</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hAnsi="仿宋" w:cs="楷体"/>
          <w:szCs w:val="32"/>
        </w:rPr>
        <w:t>（一）低压管道的管壁外缘两侧0.5米范围内的区域；</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hAnsi="仿宋" w:cs="楷体"/>
          <w:szCs w:val="32"/>
        </w:rPr>
        <w:t>（二）中压管道的管壁外缘两侧1.0米范围内的区域；</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hAnsi="仿宋" w:cs="楷体"/>
          <w:szCs w:val="32"/>
        </w:rPr>
        <w:t>（三）次高压管道的管壁外缘两侧2.0米范围内的区域；</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hAnsi="仿宋" w:cs="楷体"/>
          <w:szCs w:val="32"/>
        </w:rPr>
        <w:t>（四）高压管道的管壁外缘两侧5.0米范围内的区域。</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其他燃气设施的保护范围由市、县（区）人民政府燃气主管部门会同</w:t>
      </w:r>
      <w:r>
        <w:rPr>
          <w:rFonts w:hint="eastAsia" w:hAnsi="仿宋" w:cs="楷体"/>
          <w:sz w:val="32"/>
          <w:szCs w:val="32"/>
          <w:lang w:eastAsia="zh-CN"/>
        </w:rPr>
        <w:t>自然资源</w:t>
      </w:r>
      <w:r>
        <w:rPr>
          <w:rFonts w:hAnsi="仿宋" w:cs="楷体"/>
          <w:sz w:val="32"/>
          <w:szCs w:val="32"/>
        </w:rPr>
        <w:t>等部门按照国家有关标准和规定划定。</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第三十二条</w:t>
      </w:r>
      <w:r>
        <w:rPr>
          <w:rFonts w:hAnsi="仿宋" w:cs="楷体"/>
          <w:sz w:val="32"/>
          <w:szCs w:val="32"/>
        </w:rPr>
        <w:t xml:space="preserve">  在燃气设施保护范围内，禁止从事下列危及燃气设施安全的活动：</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（一）建设占压地下燃气管道的建筑物、构筑物或者其他设施；</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（二）进行爆破、取土等作业或者动用明火；</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（三）倾倒、排放腐蚀性物质；</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（四）放置易燃易爆危险物品或者种植深根植物；</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（五）其他危及燃气设施安全的活动。</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第三十三条</w:t>
      </w:r>
      <w:r>
        <w:rPr>
          <w:rFonts w:ascii="黑体" w:hAnsi="黑体" w:eastAsia="黑体"/>
          <w:color w:val="000000"/>
          <w:kern w:val="0"/>
          <w:sz w:val="32"/>
          <w:szCs w:val="32"/>
        </w:rPr>
        <w:t xml:space="preserve"> </w:t>
      </w:r>
      <w:r>
        <w:rPr>
          <w:rFonts w:hAnsi="Arial" w:cs="Arial"/>
          <w:b/>
          <w:sz w:val="32"/>
          <w:szCs w:val="32"/>
        </w:rPr>
        <w:t xml:space="preserve"> </w:t>
      </w:r>
      <w:r>
        <w:rPr>
          <w:rFonts w:hAnsi="仿宋" w:cs="楷体"/>
          <w:sz w:val="32"/>
          <w:szCs w:val="32"/>
        </w:rPr>
        <w:t>在燃气管道设施保护范围内，从事敷设管道、打桩、顶进、挖掘、钻探、堆土、基坑降水等可能影响燃气设施安全活动的，建设单位应当会同施工单位与燃气经营者共同制定燃气管道设施保护方案，采取相应的安全保护措施，并按照保护方案要求进行施工。</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施工单位在施工过程中发现未查明的管道设施，应当立即停止施工，并向建设单位和管道燃气经营者报告。</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在次高压、高压燃气管道设施保护范围外五十米内从事爆破作业的，应当经过燃气主管部门组织的专业论证，经论证符合要求的，方可从事爆破作业。</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第三十四条</w:t>
      </w:r>
      <w:r>
        <w:rPr>
          <w:rFonts w:hAnsi="仿宋" w:cs="楷体"/>
          <w:sz w:val="32"/>
          <w:szCs w:val="32"/>
        </w:rPr>
        <w:t xml:space="preserve">  燃气经营者改动燃气场站和次高压、高压燃气管道等燃气设施的，应当符合下列条件，并报燃气主管部门批准：</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（一）符合燃气发展规划等相关规定； </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（二）有设计和施工组织方案；</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（三）有安全防护和不影响用户安全正常用气的措施；</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（四）法律、法规规定的其他条件。</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第三十五条</w:t>
      </w:r>
      <w:r>
        <w:rPr>
          <w:rFonts w:hAnsi="仿宋" w:cs="楷体"/>
          <w:sz w:val="32"/>
          <w:szCs w:val="32"/>
        </w:rPr>
        <w:t>　建设工程施工不得影响燃气设施安全。</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建设单位在开工前，应当查明施工区域内地下燃气管道设施情况。燃气经营者以及其他有关部门和单位应当及时提供地下燃气管道线路图纸和相关资料。</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第三十六条</w:t>
      </w:r>
      <w:r>
        <w:rPr>
          <w:rFonts w:hAnsi="仿宋" w:cs="楷体"/>
          <w:sz w:val="32"/>
          <w:szCs w:val="32"/>
        </w:rPr>
        <w:t>　建设工程施工范围内有地下燃气管道等重要燃气设施的，建设单位应当会同施工单位与燃气经营者共同制定燃气设施保护方案，采取相应的安全保护措施，确保燃气设施运行安全；燃气经营者应当派专业人员进行现场指导。未制定燃气设施保护方案、未采取相应保护措施或者燃气经营者无专业人员现场指导进行施工的，监理单位应当责令停工，并向燃气主管部门报告。</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第三十七条</w:t>
      </w:r>
      <w:r>
        <w:rPr>
          <w:rFonts w:hAnsi="仿宋" w:cs="楷体"/>
          <w:sz w:val="32"/>
          <w:szCs w:val="32"/>
        </w:rPr>
        <w:t xml:space="preserve">  燃气经营者应当建立燃气设施定期巡查制度。配备专业巡查人员和专业检测设备，定期对所属的燃气设施进行巡查、检测、维修和维护，记录巡查情况。</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在巡查过程中发现侵占、毁损、擅自拆除或者移动燃气设施等可能危及燃气设施安全的行为，巡查人员有权予以制止；制止无效，应当立即告知燃气经营者或者报告燃气主管部门、</w:t>
      </w:r>
      <w:r>
        <w:rPr>
          <w:rFonts w:hint="eastAsia" w:hAnsi="仿宋" w:cs="楷体"/>
          <w:sz w:val="32"/>
          <w:szCs w:val="32"/>
          <w:lang w:eastAsia="zh-CN"/>
        </w:rPr>
        <w:t>应急</w:t>
      </w:r>
      <w:r>
        <w:rPr>
          <w:rFonts w:hAnsi="仿宋" w:cs="楷体"/>
          <w:sz w:val="32"/>
          <w:szCs w:val="32"/>
        </w:rPr>
        <w:t>管理部门和公安机关。</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第三十八条</w:t>
      </w:r>
      <w:r>
        <w:rPr>
          <w:rFonts w:hAnsi="黑体"/>
          <w:sz w:val="32"/>
          <w:szCs w:val="32"/>
        </w:rPr>
        <w:t>　</w:t>
      </w:r>
      <w:r>
        <w:rPr>
          <w:rFonts w:hAnsi="仿宋" w:cs="楷体"/>
          <w:sz w:val="32"/>
          <w:szCs w:val="32"/>
        </w:rPr>
        <w:t>燃气主管部门应当会同有关部门制定燃气安全事故应急预案，报本级人民政府批准。</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燃气经营者应当制定本单位燃气安全事故应急预案，并报所在地燃气主管部门备案。</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燃气经营者应当根据供气规模设立相应的燃气应急气源储备库。</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燃气经营者应当按照国家有关规定投保燃气安全生产责任险。</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第三十九条</w:t>
      </w:r>
      <w:r>
        <w:rPr>
          <w:sz w:val="32"/>
          <w:szCs w:val="32"/>
        </w:rPr>
        <w:t xml:space="preserve">  </w:t>
      </w:r>
      <w:r>
        <w:rPr>
          <w:rFonts w:hAnsi="仿宋" w:cs="楷体"/>
          <w:sz w:val="32"/>
          <w:szCs w:val="32"/>
        </w:rPr>
        <w:t>燃气主管部门和其他有关部门应当建立燃气安全网络监控平台系统，运用信息化技术对燃气经营者的经营活动和燃气设施、设备、器材的安全性进行监督管理。</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燃气经营者应当建立健全安全评估和风险管理体系，加强燃气安全管控。</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第四十条</w:t>
      </w:r>
      <w:r>
        <w:rPr>
          <w:rFonts w:hAnsi="黑体"/>
          <w:sz w:val="32"/>
          <w:szCs w:val="32"/>
        </w:rPr>
        <w:t xml:space="preserve">  </w:t>
      </w:r>
      <w:r>
        <w:rPr>
          <w:rFonts w:hAnsi="仿宋" w:cs="楷体"/>
          <w:sz w:val="32"/>
          <w:szCs w:val="32"/>
        </w:rPr>
        <w:t>燃气经营者应当制定年度入户安全检查计划，并报燃气主管部门。入户安全检查应当遵守下列规定：</w:t>
      </w:r>
    </w:p>
    <w:p>
      <w:pPr>
        <w:pStyle w:val="8"/>
        <w:keepNext w:val="0"/>
        <w:keepLines w:val="0"/>
        <w:pageBreakBefore w:val="0"/>
        <w:widowControl w:val="0"/>
        <w:numPr>
          <w:ilvl w:val="0"/>
          <w:numId w:val="9"/>
        </w:numPr>
        <w:kinsoku/>
        <w:wordWrap/>
        <w:overflowPunct/>
        <w:topLinePunct w:val="0"/>
        <w:autoSpaceDE w:val="0"/>
        <w:autoSpaceDN/>
        <w:bidi w:val="0"/>
        <w:adjustRightInd w:val="0"/>
        <w:snapToGrid w:val="0"/>
        <w:spacing w:line="560" w:lineRule="exact"/>
        <w:ind w:left="0" w:leftChars="0" w:firstLine="640" w:firstLineChars="200"/>
        <w:textAlignment w:val="auto"/>
        <w:rPr>
          <w:rFonts w:hint="default" w:hAnsi="仿宋" w:cs="楷体"/>
          <w:sz w:val="32"/>
          <w:szCs w:val="32"/>
        </w:rPr>
      </w:pPr>
      <w:r>
        <w:rPr>
          <w:rFonts w:hAnsi="仿宋" w:cs="楷体"/>
          <w:sz w:val="32"/>
          <w:szCs w:val="32"/>
        </w:rPr>
        <w:t>对非居民用户每半年检查不得少于一次，对居民用户每年检查不得少于一次；</w:t>
      </w:r>
    </w:p>
    <w:p>
      <w:pPr>
        <w:pStyle w:val="8"/>
        <w:keepNext w:val="0"/>
        <w:keepLines w:val="0"/>
        <w:pageBreakBefore w:val="0"/>
        <w:widowControl w:val="0"/>
        <w:numPr>
          <w:ilvl w:val="0"/>
          <w:numId w:val="9"/>
        </w:numPr>
        <w:kinsoku/>
        <w:wordWrap/>
        <w:overflowPunct/>
        <w:topLinePunct w:val="0"/>
        <w:autoSpaceDE w:val="0"/>
        <w:autoSpaceDN/>
        <w:bidi w:val="0"/>
        <w:adjustRightInd w:val="0"/>
        <w:snapToGrid w:val="0"/>
        <w:spacing w:line="560" w:lineRule="exact"/>
        <w:ind w:left="0" w:leftChars="0" w:firstLine="640" w:firstLineChars="200"/>
        <w:textAlignment w:val="auto"/>
        <w:rPr>
          <w:rFonts w:hint="default" w:hAnsi="仿宋" w:cs="楷体"/>
          <w:sz w:val="32"/>
          <w:szCs w:val="32"/>
        </w:rPr>
      </w:pPr>
      <w:r>
        <w:rPr>
          <w:rFonts w:hAnsi="仿宋" w:cs="楷体"/>
          <w:sz w:val="32"/>
          <w:szCs w:val="32"/>
        </w:rPr>
        <w:t>提前告知用户，并按照约定的时间实施；</w:t>
      </w:r>
    </w:p>
    <w:p>
      <w:pPr>
        <w:pStyle w:val="8"/>
        <w:keepNext w:val="0"/>
        <w:keepLines w:val="0"/>
        <w:pageBreakBefore w:val="0"/>
        <w:widowControl w:val="0"/>
        <w:numPr>
          <w:ilvl w:val="0"/>
          <w:numId w:val="9"/>
        </w:numPr>
        <w:kinsoku/>
        <w:wordWrap/>
        <w:overflowPunct/>
        <w:topLinePunct w:val="0"/>
        <w:autoSpaceDE w:val="0"/>
        <w:autoSpaceDN/>
        <w:bidi w:val="0"/>
        <w:adjustRightInd w:val="0"/>
        <w:snapToGrid w:val="0"/>
        <w:spacing w:line="560" w:lineRule="exact"/>
        <w:ind w:left="0" w:leftChars="0" w:firstLine="640" w:firstLineChars="200"/>
        <w:textAlignment w:val="auto"/>
        <w:rPr>
          <w:rFonts w:hint="default" w:hAnsi="仿宋" w:cs="楷体"/>
          <w:sz w:val="32"/>
          <w:szCs w:val="32"/>
        </w:rPr>
      </w:pPr>
      <w:r>
        <w:rPr>
          <w:rFonts w:hAnsi="仿宋" w:cs="楷体"/>
          <w:sz w:val="32"/>
          <w:szCs w:val="32"/>
        </w:rPr>
        <w:t>对用户安全用气给予技术指导；</w:t>
      </w:r>
    </w:p>
    <w:p>
      <w:pPr>
        <w:pStyle w:val="8"/>
        <w:keepNext w:val="0"/>
        <w:keepLines w:val="0"/>
        <w:pageBreakBefore w:val="0"/>
        <w:widowControl w:val="0"/>
        <w:numPr>
          <w:ilvl w:val="0"/>
          <w:numId w:val="9"/>
        </w:numPr>
        <w:kinsoku/>
        <w:wordWrap/>
        <w:overflowPunct/>
        <w:topLinePunct w:val="0"/>
        <w:autoSpaceDE w:val="0"/>
        <w:autoSpaceDN/>
        <w:bidi w:val="0"/>
        <w:adjustRightInd w:val="0"/>
        <w:snapToGrid w:val="0"/>
        <w:spacing w:line="560" w:lineRule="exact"/>
        <w:ind w:left="0" w:leftChars="0" w:firstLine="640" w:firstLineChars="200"/>
        <w:textAlignment w:val="auto"/>
        <w:rPr>
          <w:rFonts w:hint="default" w:hAnsi="仿宋" w:cs="楷体"/>
          <w:sz w:val="32"/>
          <w:szCs w:val="32"/>
        </w:rPr>
      </w:pPr>
      <w:r>
        <w:rPr>
          <w:rFonts w:hAnsi="仿宋" w:cs="楷体"/>
          <w:sz w:val="32"/>
          <w:szCs w:val="32"/>
        </w:rPr>
        <w:t>做好安全检查记录，发现用户有违反安全用气规定或者存在安全隐患的，书面告知并帮助用户整改；</w:t>
      </w:r>
    </w:p>
    <w:p>
      <w:pPr>
        <w:pStyle w:val="8"/>
        <w:keepNext w:val="0"/>
        <w:keepLines w:val="0"/>
        <w:pageBreakBefore w:val="0"/>
        <w:widowControl w:val="0"/>
        <w:numPr>
          <w:ilvl w:val="0"/>
          <w:numId w:val="9"/>
        </w:numPr>
        <w:kinsoku/>
        <w:wordWrap/>
        <w:overflowPunct/>
        <w:topLinePunct w:val="0"/>
        <w:autoSpaceDE w:val="0"/>
        <w:autoSpaceDN/>
        <w:bidi w:val="0"/>
        <w:adjustRightInd w:val="0"/>
        <w:snapToGrid w:val="0"/>
        <w:spacing w:line="560" w:lineRule="exact"/>
        <w:ind w:left="0" w:leftChars="0" w:firstLine="640" w:firstLineChars="200"/>
        <w:textAlignment w:val="auto"/>
        <w:rPr>
          <w:rFonts w:hint="default" w:hAnsi="仿宋" w:cs="楷体"/>
          <w:sz w:val="32"/>
          <w:szCs w:val="32"/>
        </w:rPr>
      </w:pPr>
      <w:r>
        <w:rPr>
          <w:rFonts w:hAnsi="仿宋" w:cs="楷体"/>
          <w:sz w:val="32"/>
          <w:szCs w:val="32"/>
        </w:rPr>
        <w:t>无法对用户进行安全检查的，应当做好记录，并以书面形式告知用户另行约定安全检查时间。</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第四十一条</w:t>
      </w:r>
      <w:r>
        <w:rPr>
          <w:sz w:val="32"/>
          <w:szCs w:val="32"/>
        </w:rPr>
        <w:t xml:space="preserve">  </w:t>
      </w:r>
      <w:r>
        <w:rPr>
          <w:rFonts w:hAnsi="仿宋" w:cs="楷体"/>
          <w:sz w:val="32"/>
          <w:szCs w:val="32"/>
        </w:rPr>
        <w:t>管道燃气经营者发现用户存在下列重大安全隐患且不能及时整改到位，应当采取停止供气措施:</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（一）燃气设施漏气的;</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（二）燃气管道末端未设有效封堵的;</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（三）使用国家明令淘汰的直排式燃气热水器、燃气热水器未装烟道或者烟道未出户的;</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（四）将装有燃气管道、设备的房间改为卧室或者浴室的;</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（五）存在其他重大安全隐患的。</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物业服务企业应当为燃气经营者工作人员安全检查提供便利。</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安全隐患整改到位后，管道燃气经营者应当在保证安全的前提下及时恢复供气。</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ascii="黑体" w:hAnsi="黑体" w:eastAsia="黑体" w:cs="黑体"/>
          <w:sz w:val="32"/>
          <w:szCs w:val="32"/>
        </w:rPr>
        <w:t>第四十二条</w:t>
      </w:r>
      <w:r>
        <w:rPr>
          <w:rFonts w:hAnsi="Arial" w:cs="Arial"/>
          <w:sz w:val="32"/>
          <w:szCs w:val="32"/>
        </w:rPr>
        <w:t xml:space="preserve">  </w:t>
      </w:r>
      <w:r>
        <w:rPr>
          <w:rFonts w:hAnsi="仿宋" w:cs="楷体"/>
          <w:sz w:val="32"/>
          <w:szCs w:val="32"/>
        </w:rPr>
        <w:t>任何单位和个人发现燃气安全事故或者燃气安全事故隐患等情况，应当立即告知燃气经营者，或者向燃气主管部门、</w:t>
      </w:r>
      <w:r>
        <w:rPr>
          <w:rFonts w:hint="eastAsia" w:hAnsi="仿宋" w:cs="楷体"/>
          <w:sz w:val="32"/>
          <w:szCs w:val="32"/>
          <w:lang w:eastAsia="zh-CN"/>
        </w:rPr>
        <w:t>消防救援机构</w:t>
      </w:r>
      <w:r>
        <w:rPr>
          <w:rFonts w:hAnsi="仿宋" w:cs="楷体"/>
          <w:sz w:val="32"/>
          <w:szCs w:val="32"/>
        </w:rPr>
        <w:t>等部门和单位报告。</w:t>
      </w:r>
    </w:p>
    <w:p>
      <w:pPr>
        <w:pStyle w:val="8"/>
        <w:keepNext w:val="0"/>
        <w:keepLines w:val="0"/>
        <w:pageBreakBefore w:val="0"/>
        <w:widowControl w:val="0"/>
        <w:kinsoku/>
        <w:wordWrap/>
        <w:overflowPunct/>
        <w:topLinePunct w:val="0"/>
        <w:autoSpaceDE w:val="0"/>
        <w:autoSpaceDN/>
        <w:bidi w:val="0"/>
        <w:adjustRightInd w:val="0"/>
        <w:snapToGrid w:val="0"/>
        <w:spacing w:line="560" w:lineRule="exact"/>
        <w:ind w:firstLine="640" w:firstLineChars="200"/>
        <w:textAlignment w:val="auto"/>
        <w:rPr>
          <w:rFonts w:hint="default" w:hAnsi="仿宋" w:cs="楷体"/>
          <w:sz w:val="32"/>
          <w:szCs w:val="32"/>
        </w:rPr>
      </w:pPr>
      <w:r>
        <w:rPr>
          <w:rFonts w:hAnsi="仿宋" w:cs="楷体"/>
          <w:sz w:val="32"/>
          <w:szCs w:val="32"/>
        </w:rPr>
        <w:t>燃气经营者或者有关部门和单位接到事故或者事故隐患报告后，应当立即处理，不得推诿。抢修、抢险人员对妨碍抢修、抢险的其他设施，可以采取必要的紧急避险措施，有关单位和个人应当配合，不得阻挠。</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第四十三条</w:t>
      </w:r>
      <w:r>
        <w:rPr>
          <w:rFonts w:hint="eastAsia" w:ascii="仿宋_GB2312"/>
          <w:szCs w:val="32"/>
        </w:rPr>
        <w:t xml:space="preserve">  </w:t>
      </w:r>
      <w:r>
        <w:rPr>
          <w:rFonts w:hint="eastAsia" w:ascii="仿宋_GB2312" w:hAnsi="仿宋" w:cs="楷体"/>
          <w:szCs w:val="32"/>
        </w:rPr>
        <w:t>管道燃气经营者对于停止运行、报废的燃气管道应当及时进行处置，暂时没有处置的应当采取必要的安全防护措施。</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jc w:val="center"/>
        <w:textAlignment w:val="auto"/>
        <w:rPr>
          <w:rFonts w:ascii="黑体" w:hAnsi="黑体" w:eastAsia="黑体"/>
          <w:szCs w:val="32"/>
        </w:rPr>
      </w:pPr>
      <w:r>
        <w:rPr>
          <w:rFonts w:hint="eastAsia" w:ascii="黑体" w:hAnsi="黑体" w:eastAsia="黑体"/>
          <w:szCs w:val="32"/>
        </w:rPr>
        <w:t>第六章  法律责任</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黑体" w:hAnsi="黑体" w:eastAsia="黑体"/>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第四十四条</w:t>
      </w:r>
      <w:r>
        <w:rPr>
          <w:rFonts w:hint="eastAsia" w:ascii="仿宋_GB2312" w:hAnsi="仿宋"/>
          <w:szCs w:val="32"/>
        </w:rPr>
        <w:t xml:space="preserve">  </w:t>
      </w:r>
      <w:r>
        <w:rPr>
          <w:rFonts w:hint="eastAsia" w:ascii="仿宋_GB2312" w:hAnsi="仿宋" w:cs="楷体"/>
          <w:szCs w:val="32"/>
        </w:rPr>
        <w:t>违反本条例第十一条第一款规定，建设单位新建、扩建、改建燃气设施建设工程未按照规定进行安全评价的，由燃气主管部门责令停止建设或者停产停业整顿，限期改正；逾期未改正的，处五十万元以上一百万元以下罚款，对其直接负责的主管人员和其他直接责任人员处二万元以上五万元以下罚款。</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ascii="黑体" w:hAnsi="黑体" w:eastAsia="黑体"/>
          <w:szCs w:val="32"/>
        </w:rPr>
        <w:t xml:space="preserve">第四十五条  </w:t>
      </w:r>
      <w:r>
        <w:rPr>
          <w:rFonts w:ascii="仿宋_GB2312" w:hAnsi="仿宋" w:cs="楷体"/>
          <w:szCs w:val="32"/>
        </w:rPr>
        <w:t>违反本条例第十三条规定，建设单位有下列行为之一的，</w:t>
      </w:r>
      <w:r>
        <w:rPr>
          <w:rFonts w:hint="eastAsia" w:ascii="仿宋_GB2312" w:hAnsi="仿宋" w:cs="楷体"/>
          <w:szCs w:val="32"/>
        </w:rPr>
        <w:t>由</w:t>
      </w:r>
      <w:r>
        <w:rPr>
          <w:rFonts w:hint="eastAsia" w:ascii="仿宋_GB2312" w:hAnsi="仿宋" w:cs="楷体"/>
          <w:szCs w:val="32"/>
          <w:lang w:eastAsia="zh-CN"/>
        </w:rPr>
        <w:t>住房和城乡</w:t>
      </w:r>
      <w:r>
        <w:rPr>
          <w:rFonts w:hint="eastAsia" w:ascii="仿宋_GB2312" w:hAnsi="仿宋" w:cs="楷体"/>
          <w:szCs w:val="32"/>
        </w:rPr>
        <w:t>建设主管部门</w:t>
      </w:r>
      <w:r>
        <w:rPr>
          <w:rFonts w:ascii="仿宋_GB2312" w:hAnsi="仿宋" w:cs="楷体"/>
          <w:szCs w:val="32"/>
        </w:rPr>
        <w:t>责令改正，处工程合同价款百分之二以上百分之四以下罚款；造成损失的，依法承担赔偿责任：</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ascii="仿宋_GB2312" w:hAnsi="仿宋" w:cs="楷体"/>
          <w:szCs w:val="32"/>
        </w:rPr>
        <w:t>（一）未组织竣工验收，擅自交付使用的；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ascii="仿宋_GB2312" w:hAnsi="仿宋" w:cs="楷体"/>
          <w:szCs w:val="32"/>
        </w:rPr>
        <w:t>（二）竣工验收不合格，擅自交付使用的；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ascii="仿宋_GB2312" w:hAnsi="仿宋" w:cs="楷体"/>
          <w:szCs w:val="32"/>
        </w:rPr>
        <w:t>（三）对不合格的燃气设施建设工程按照合格工程验收的。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ascii="仿宋_GB2312" w:hAnsi="仿宋" w:cs="楷体"/>
          <w:szCs w:val="32"/>
        </w:rPr>
        <w:t>未按照规定向城建档案管理机构移交建设项目档案的，</w:t>
      </w:r>
      <w:r>
        <w:rPr>
          <w:rFonts w:hint="eastAsia" w:ascii="仿宋_GB2312" w:hAnsi="仿宋" w:cs="楷体"/>
          <w:szCs w:val="32"/>
        </w:rPr>
        <w:t>由</w:t>
      </w:r>
      <w:r>
        <w:rPr>
          <w:rFonts w:hint="eastAsia" w:ascii="仿宋_GB2312" w:hAnsi="仿宋" w:cs="楷体"/>
          <w:szCs w:val="32"/>
          <w:lang w:eastAsia="zh-CN"/>
        </w:rPr>
        <w:t>住房和城乡</w:t>
      </w:r>
      <w:r>
        <w:rPr>
          <w:rFonts w:hint="eastAsia" w:ascii="仿宋_GB2312" w:hAnsi="仿宋" w:cs="楷体"/>
          <w:szCs w:val="32"/>
        </w:rPr>
        <w:t>建设主管部门</w:t>
      </w:r>
      <w:r>
        <w:rPr>
          <w:rFonts w:ascii="仿宋_GB2312" w:hAnsi="仿宋" w:cs="楷体"/>
          <w:szCs w:val="32"/>
        </w:rPr>
        <w:t>责令改正，处一万元以上五万元以下罚款。</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ascii="黑体" w:hAnsi="黑体" w:eastAsia="黑体"/>
          <w:szCs w:val="32"/>
        </w:rPr>
        <w:t>第四十六条</w:t>
      </w:r>
      <w:r>
        <w:rPr>
          <w:rFonts w:ascii="黑体" w:hAnsi="黑体" w:eastAsia="黑体" w:cs="宋体"/>
          <w:kern w:val="0"/>
          <w:szCs w:val="32"/>
        </w:rPr>
        <w:t xml:space="preserve"> </w:t>
      </w:r>
      <w:r>
        <w:rPr>
          <w:rFonts w:ascii="黑体" w:hAnsi="黑体" w:eastAsia="黑体"/>
          <w:szCs w:val="32"/>
        </w:rPr>
        <w:t xml:space="preserve"> </w:t>
      </w:r>
      <w:r>
        <w:rPr>
          <w:rFonts w:ascii="仿宋_GB2312" w:hAnsi="仿宋" w:cs="楷体"/>
          <w:szCs w:val="32"/>
        </w:rPr>
        <w:t>违反本条例第十四条规定，未取得燃气经营许可证从事燃气经营活动的，由燃气主管部门责令停止违法行为，处五万元以上二十万元以下罚款；有违法所得的，没收违法所得。</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ascii="仿宋_GB2312" w:hAnsi="仿宋" w:cs="楷体"/>
          <w:szCs w:val="32"/>
        </w:rPr>
        <w:t>不按照燃气经营许可证的规定从事燃气经营活动的，由燃气主管部门责令限期改正，处三万元以上十万元以下罚款；有违法所得的，没收违法所得；情节严重的，吊销燃气经营许可证。</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hint="eastAsia" w:ascii="仿宋_GB2312" w:hAnsi="仿宋" w:cs="楷体"/>
          <w:szCs w:val="32"/>
        </w:rPr>
      </w:pPr>
      <w:r>
        <w:rPr>
          <w:rFonts w:hint="eastAsia" w:ascii="黑体" w:hAnsi="黑体" w:eastAsia="黑体"/>
          <w:szCs w:val="32"/>
        </w:rPr>
        <w:t>第四十七条</w:t>
      </w:r>
      <w:r>
        <w:rPr>
          <w:rFonts w:hint="eastAsia" w:ascii="仿宋_GB2312" w:hAnsi="仿宋" w:cs="楷体"/>
          <w:szCs w:val="32"/>
        </w:rPr>
        <w:t xml:space="preserve">  有下列行为之一的，由燃气主管部门责令限期改正，处一万元以上五万元以下罚款；有违法所得的，没收违法所得；情节严重的，吊销燃气经营许可证；造成损失的，依法承担赔偿责任：</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hint="eastAsia" w:eastAsia="仿宋_GB2312"/>
          <w:lang w:eastAsia="zh-CN"/>
        </w:rPr>
      </w:pPr>
      <w:r>
        <w:rPr>
          <w:rFonts w:hint="eastAsia" w:ascii="仿宋_GB2312" w:eastAsia="仿宋_GB2312"/>
          <w:color w:val="000000"/>
          <w:sz w:val="32"/>
          <w:szCs w:val="32"/>
          <w:lang w:eastAsia="zh-CN"/>
        </w:rPr>
        <w:t>（一）</w:t>
      </w:r>
      <w:r>
        <w:rPr>
          <w:rFonts w:hint="eastAsia" w:ascii="仿宋_GB2312" w:eastAsia="仿宋_GB2312"/>
          <w:color w:val="000000"/>
          <w:sz w:val="32"/>
          <w:szCs w:val="32"/>
        </w:rPr>
        <w:t>违反本条例第十七条第二项规定，未对燃气用户的燃气设施定期进行安全检查的</w:t>
      </w:r>
      <w:r>
        <w:rPr>
          <w:rFonts w:hint="eastAsia" w:ascii="仿宋_GB2312"/>
          <w:color w:val="000000"/>
          <w:sz w:val="32"/>
          <w:szCs w:val="32"/>
          <w:lang w:eastAsia="zh-CN"/>
        </w:rPr>
        <w:t>；</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hAnsi="仿宋" w:cs="楷体"/>
          <w:szCs w:val="32"/>
        </w:rPr>
        <w:t>（</w:t>
      </w:r>
      <w:r>
        <w:rPr>
          <w:rFonts w:hint="eastAsia" w:ascii="仿宋_GB2312" w:hAnsi="仿宋" w:cs="楷体"/>
          <w:szCs w:val="32"/>
          <w:lang w:eastAsia="zh-CN"/>
        </w:rPr>
        <w:t>二</w:t>
      </w:r>
      <w:r>
        <w:rPr>
          <w:rFonts w:hint="eastAsia" w:ascii="仿宋_GB2312" w:hAnsi="仿宋" w:cs="楷体"/>
          <w:szCs w:val="32"/>
        </w:rPr>
        <w:t>）违反本条例第十七条第三项规定，未向用户供应符合国家质量标准的燃气的；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szCs w:val="32"/>
        </w:rPr>
      </w:pPr>
      <w:r>
        <w:rPr>
          <w:rFonts w:hint="eastAsia" w:ascii="仿宋_GB2312" w:hAnsi="仿宋" w:cs="楷体"/>
          <w:szCs w:val="32"/>
        </w:rPr>
        <w:t>（</w:t>
      </w:r>
      <w:r>
        <w:rPr>
          <w:rFonts w:hint="eastAsia" w:ascii="仿宋_GB2312" w:hAnsi="仿宋" w:cs="楷体"/>
          <w:szCs w:val="32"/>
          <w:lang w:eastAsia="zh-CN"/>
        </w:rPr>
        <w:t>三</w:t>
      </w:r>
      <w:r>
        <w:rPr>
          <w:rFonts w:hint="eastAsia" w:ascii="仿宋_GB2312" w:hAnsi="仿宋" w:cs="楷体"/>
          <w:szCs w:val="32"/>
        </w:rPr>
        <w:t>）违反本条例第十七条第五项规定，</w:t>
      </w:r>
      <w:r>
        <w:rPr>
          <w:rFonts w:hint="eastAsia" w:ascii="仿宋_GB2312" w:hAnsi="仿宋"/>
          <w:szCs w:val="32"/>
        </w:rPr>
        <w:t>向未取得燃气经营许可证的经营者提供用于经营的燃气的；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szCs w:val="32"/>
        </w:rPr>
      </w:pPr>
      <w:r>
        <w:rPr>
          <w:rFonts w:hint="eastAsia" w:ascii="仿宋_GB2312" w:hAnsi="仿宋"/>
          <w:szCs w:val="32"/>
        </w:rPr>
        <w:t>（</w:t>
      </w:r>
      <w:r>
        <w:rPr>
          <w:rFonts w:hint="eastAsia" w:ascii="仿宋_GB2312" w:hAnsi="仿宋"/>
          <w:szCs w:val="32"/>
          <w:lang w:eastAsia="zh-CN"/>
        </w:rPr>
        <w:t>四</w:t>
      </w:r>
      <w:r>
        <w:rPr>
          <w:rFonts w:hint="eastAsia" w:ascii="仿宋_GB2312" w:hAnsi="仿宋"/>
          <w:szCs w:val="32"/>
        </w:rPr>
        <w:t>）违反本条例第</w:t>
      </w:r>
      <w:r>
        <w:rPr>
          <w:rFonts w:hint="eastAsia" w:ascii="仿宋_GB2312" w:hAnsi="仿宋" w:cs="楷体"/>
          <w:szCs w:val="32"/>
        </w:rPr>
        <w:t>十七</w:t>
      </w:r>
      <w:r>
        <w:rPr>
          <w:rFonts w:hint="eastAsia" w:ascii="仿宋_GB2312" w:hAnsi="仿宋"/>
          <w:szCs w:val="32"/>
        </w:rPr>
        <w:t>条第六项规定，强制用户购买其指定的产品或者接受其提供的服务的；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szCs w:val="32"/>
        </w:rPr>
      </w:pPr>
      <w:r>
        <w:rPr>
          <w:rFonts w:hint="eastAsia" w:ascii="仿宋_GB2312" w:hAnsi="仿宋" w:cs="楷体"/>
          <w:szCs w:val="32"/>
        </w:rPr>
        <w:t>（</w:t>
      </w:r>
      <w:r>
        <w:rPr>
          <w:rFonts w:hint="eastAsia" w:ascii="仿宋_GB2312" w:hAnsi="仿宋" w:cs="楷体"/>
          <w:szCs w:val="32"/>
          <w:lang w:eastAsia="zh-CN"/>
        </w:rPr>
        <w:t>五</w:t>
      </w:r>
      <w:r>
        <w:rPr>
          <w:rFonts w:hint="eastAsia" w:ascii="仿宋_GB2312" w:hAnsi="仿宋" w:cs="楷体"/>
          <w:szCs w:val="32"/>
        </w:rPr>
        <w:t>）违反本条例第十八条第三项规定，拒绝向</w:t>
      </w:r>
      <w:r>
        <w:rPr>
          <w:rFonts w:hint="eastAsia" w:ascii="仿宋_GB2312" w:hAnsi="仿宋"/>
          <w:szCs w:val="32"/>
        </w:rPr>
        <w:t>供气区域内具备用气条件的单位和个人提供供气服务的；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szCs w:val="32"/>
        </w:rPr>
      </w:pPr>
      <w:r>
        <w:rPr>
          <w:rFonts w:hint="eastAsia" w:ascii="仿宋_GB2312" w:hAnsi="仿宋"/>
          <w:szCs w:val="32"/>
        </w:rPr>
        <w:t>（</w:t>
      </w:r>
      <w:r>
        <w:rPr>
          <w:rFonts w:hint="eastAsia" w:ascii="仿宋_GB2312" w:hAnsi="仿宋"/>
          <w:szCs w:val="32"/>
          <w:lang w:eastAsia="zh-CN"/>
        </w:rPr>
        <w:t>六</w:t>
      </w:r>
      <w:r>
        <w:rPr>
          <w:rFonts w:hint="eastAsia" w:ascii="仿宋_GB2312" w:hAnsi="仿宋"/>
          <w:szCs w:val="32"/>
        </w:rPr>
        <w:t>）违反本条例第十八条第五项、第六项规定，未履行必要告知义务擅自调整供气量或者暂停供气的；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szCs w:val="32"/>
        </w:rPr>
      </w:pPr>
      <w:r>
        <w:rPr>
          <w:rFonts w:hint="eastAsia" w:ascii="仿宋_GB2312" w:hAnsi="仿宋"/>
          <w:szCs w:val="32"/>
        </w:rPr>
        <w:t>（</w:t>
      </w:r>
      <w:r>
        <w:rPr>
          <w:rFonts w:hint="eastAsia" w:ascii="仿宋_GB2312" w:hAnsi="仿宋"/>
          <w:szCs w:val="32"/>
          <w:lang w:eastAsia="zh-CN"/>
        </w:rPr>
        <w:t>七</w:t>
      </w:r>
      <w:r>
        <w:rPr>
          <w:rFonts w:hint="eastAsia" w:ascii="仿宋_GB2312" w:hAnsi="仿宋"/>
          <w:szCs w:val="32"/>
        </w:rPr>
        <w:t>）违反本条例第十八条第八项规定，未经审批擅自停业或者歇业的；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szCs w:val="32"/>
        </w:rPr>
      </w:pPr>
      <w:r>
        <w:rPr>
          <w:rFonts w:hint="eastAsia" w:ascii="仿宋_GB2312" w:hAnsi="仿宋"/>
          <w:szCs w:val="32"/>
        </w:rPr>
        <w:t>（八）违反本条例第十九条第五项规定，在不具备安全条件的场所储存燃气的。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hint="eastAsia" w:ascii="仿宋_GB2312" w:hAnsi="仿宋" w:cs="楷体"/>
          <w:szCs w:val="32"/>
        </w:rPr>
      </w:pPr>
      <w:r>
        <w:rPr>
          <w:rFonts w:hint="eastAsia" w:ascii="黑体" w:hAnsi="黑体" w:eastAsia="黑体"/>
          <w:szCs w:val="32"/>
        </w:rPr>
        <w:t>第四十八条</w:t>
      </w:r>
      <w:r>
        <w:rPr>
          <w:rFonts w:hint="eastAsia" w:ascii="仿宋_GB2312"/>
          <w:szCs w:val="32"/>
        </w:rPr>
        <w:t xml:space="preserve">  </w:t>
      </w:r>
      <w:r>
        <w:rPr>
          <w:rFonts w:hint="eastAsia" w:ascii="仿宋_GB2312" w:hAnsi="仿宋" w:cs="楷体"/>
          <w:szCs w:val="32"/>
        </w:rPr>
        <w:t>违反本条例第十九条第一项规定，未对自有气瓶</w:t>
      </w:r>
      <w:r>
        <w:rPr>
          <w:rFonts w:hint="eastAsia" w:ascii="仿宋_GB2312" w:hAnsi="仿宋" w:cs="楷体"/>
          <w:szCs w:val="32"/>
          <w:lang w:eastAsia="zh-CN"/>
        </w:rPr>
        <w:t>设置</w:t>
      </w:r>
      <w:r>
        <w:rPr>
          <w:rFonts w:hint="eastAsia" w:ascii="仿宋_GB2312" w:hAnsi="仿宋" w:cs="楷体"/>
          <w:szCs w:val="32"/>
        </w:rPr>
        <w:t>权属单位标记的，由燃气主管部门责令限期改正，逾期不改正的，处每瓶一百元罚款。</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hint="eastAsia" w:ascii="仿宋_GB2312" w:hAnsi="仿宋" w:cs="楷体"/>
          <w:szCs w:val="32"/>
          <w:lang w:eastAsia="zh-CN"/>
        </w:rPr>
      </w:pPr>
      <w:r>
        <w:rPr>
          <w:rFonts w:hint="eastAsia" w:ascii="仿宋_GB2312" w:hAnsi="仿宋" w:cs="楷体"/>
          <w:szCs w:val="32"/>
        </w:rPr>
        <w:t>违反本条例第十九条第九项规定</w:t>
      </w:r>
      <w:r>
        <w:rPr>
          <w:rFonts w:hint="eastAsia" w:ascii="仿宋_GB2312" w:hAnsi="仿宋" w:cs="楷体"/>
          <w:szCs w:val="32"/>
          <w:lang w:eastAsia="zh-CN"/>
        </w:rPr>
        <w:t>的</w:t>
      </w:r>
      <w:r>
        <w:rPr>
          <w:rFonts w:hint="eastAsia" w:ascii="仿宋_GB2312" w:hAnsi="仿宋" w:cs="楷体"/>
          <w:szCs w:val="32"/>
        </w:rPr>
        <w:t>，</w:t>
      </w:r>
      <w:r>
        <w:rPr>
          <w:rFonts w:hint="eastAsia" w:ascii="仿宋_GB2312" w:hAnsi="仿宋" w:cs="楷体"/>
          <w:szCs w:val="32"/>
          <w:lang w:eastAsia="zh-CN"/>
        </w:rPr>
        <w:t>依照国家有关气瓶安全监察的规定进行处罚。</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第四十九条</w:t>
      </w:r>
      <w:r>
        <w:rPr>
          <w:rFonts w:hint="eastAsia" w:ascii="黑体" w:hAnsi="黑体" w:eastAsia="黑体" w:cs="宋体"/>
          <w:kern w:val="0"/>
          <w:szCs w:val="32"/>
        </w:rPr>
        <w:t xml:space="preserve"> </w:t>
      </w:r>
      <w:r>
        <w:rPr>
          <w:rFonts w:hint="eastAsia" w:ascii="黑体" w:hAnsi="黑体" w:eastAsia="黑体"/>
          <w:szCs w:val="32"/>
        </w:rPr>
        <w:t xml:space="preserve"> </w:t>
      </w:r>
      <w:r>
        <w:rPr>
          <w:rFonts w:hint="eastAsia" w:ascii="仿宋_GB2312" w:hAnsi="仿宋" w:cs="楷体"/>
          <w:szCs w:val="32"/>
        </w:rPr>
        <w:t>违反本条例第二十条规定的，依照有关法律、行政法规的相关规定予以处罚。</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第五十条</w:t>
      </w:r>
      <w:r>
        <w:rPr>
          <w:rFonts w:hint="eastAsia" w:ascii="仿宋_GB2312"/>
          <w:szCs w:val="32"/>
        </w:rPr>
        <w:t xml:space="preserve">  </w:t>
      </w:r>
      <w:r>
        <w:rPr>
          <w:rFonts w:hint="eastAsia" w:ascii="仿宋_GB2312" w:hAnsi="仿宋" w:cs="楷体"/>
          <w:szCs w:val="32"/>
        </w:rPr>
        <w:t>有下列行为之一的，由燃气主管部门责令限期改正；逾期不改正的，对单位可以处五万元以下罚款，对个人可以处一千元以下罚款；造成损失的，依法承担赔偿责任：</w:t>
      </w:r>
    </w:p>
    <w:p>
      <w:pPr>
        <w:keepNext w:val="0"/>
        <w:keepLines w:val="0"/>
        <w:pageBreakBefore w:val="0"/>
        <w:widowControl w:val="0"/>
        <w:numPr>
          <w:ilvl w:val="0"/>
          <w:numId w:val="10"/>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cs="楷体"/>
          <w:szCs w:val="32"/>
        </w:rPr>
      </w:pPr>
      <w:r>
        <w:rPr>
          <w:rFonts w:hint="eastAsia" w:ascii="仿宋_GB2312" w:hAnsi="仿宋" w:cs="楷体"/>
          <w:szCs w:val="32"/>
        </w:rPr>
        <w:t>违反本条例第二十五条第一款第八项规定，改变燃气用途或者转供燃气的；</w:t>
      </w:r>
    </w:p>
    <w:p>
      <w:pPr>
        <w:keepNext w:val="0"/>
        <w:keepLines w:val="0"/>
        <w:pageBreakBefore w:val="0"/>
        <w:widowControl w:val="0"/>
        <w:numPr>
          <w:ilvl w:val="0"/>
          <w:numId w:val="10"/>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cs="楷体"/>
          <w:szCs w:val="32"/>
        </w:rPr>
      </w:pPr>
      <w:r>
        <w:rPr>
          <w:rFonts w:hint="eastAsia" w:ascii="仿宋_GB2312" w:hAnsi="仿宋" w:cs="楷体"/>
          <w:szCs w:val="32"/>
        </w:rPr>
        <w:t>违反本条例第二十五条第一款第九项规定，擅自安装、改装、拆除户内燃气设施和燃气计量装置的；</w:t>
      </w:r>
    </w:p>
    <w:p>
      <w:pPr>
        <w:keepNext w:val="0"/>
        <w:keepLines w:val="0"/>
        <w:pageBreakBefore w:val="0"/>
        <w:widowControl w:val="0"/>
        <w:numPr>
          <w:ilvl w:val="0"/>
          <w:numId w:val="10"/>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cs="楷体"/>
          <w:szCs w:val="32"/>
        </w:rPr>
      </w:pPr>
      <w:r>
        <w:rPr>
          <w:rFonts w:hint="eastAsia" w:ascii="仿宋_GB2312" w:hAnsi="仿宋" w:cs="楷体"/>
          <w:szCs w:val="32"/>
        </w:rPr>
        <w:t>违反本条例第二十九条规定，未设立售后服务站点或者未配备经考核合格的燃气燃烧器具安装、维修人员的；</w:t>
      </w:r>
    </w:p>
    <w:p>
      <w:pPr>
        <w:keepNext w:val="0"/>
        <w:keepLines w:val="0"/>
        <w:pageBreakBefore w:val="0"/>
        <w:widowControl w:val="0"/>
        <w:numPr>
          <w:ilvl w:val="0"/>
          <w:numId w:val="10"/>
        </w:numPr>
        <w:kinsoku/>
        <w:wordWrap/>
        <w:overflowPunct/>
        <w:topLinePunct w:val="0"/>
        <w:autoSpaceDN/>
        <w:bidi w:val="0"/>
        <w:adjustRightInd w:val="0"/>
        <w:snapToGrid w:val="0"/>
        <w:spacing w:line="560" w:lineRule="exact"/>
        <w:ind w:left="0" w:leftChars="0" w:firstLine="640" w:firstLineChars="200"/>
        <w:textAlignment w:val="auto"/>
        <w:rPr>
          <w:rFonts w:ascii="仿宋_GB2312" w:hAnsi="仿宋" w:cs="楷体"/>
          <w:szCs w:val="32"/>
        </w:rPr>
      </w:pPr>
      <w:r>
        <w:rPr>
          <w:rFonts w:hint="eastAsia" w:ascii="仿宋_GB2312" w:hAnsi="仿宋" w:cs="楷体"/>
          <w:szCs w:val="32"/>
        </w:rPr>
        <w:t>违反本条例第三十条第一款规定，燃气燃烧器具的安装、维修作业不符合国家有关标准或者安装、使用不符合气源要求的燃气燃烧器具的。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第五十一条</w:t>
      </w:r>
      <w:r>
        <w:rPr>
          <w:rFonts w:hint="eastAsia" w:ascii="黑体" w:hAnsi="黑体" w:eastAsia="黑体" w:cs="宋体"/>
          <w:kern w:val="0"/>
          <w:szCs w:val="32"/>
        </w:rPr>
        <w:t xml:space="preserve"> </w:t>
      </w:r>
      <w:r>
        <w:rPr>
          <w:rFonts w:hint="eastAsia" w:ascii="仿宋_GB2312"/>
          <w:szCs w:val="32"/>
        </w:rPr>
        <w:t xml:space="preserve"> </w:t>
      </w:r>
      <w:r>
        <w:rPr>
          <w:rFonts w:hint="eastAsia" w:ascii="仿宋_GB2312" w:hAnsi="仿宋" w:cs="楷体"/>
          <w:szCs w:val="32"/>
        </w:rPr>
        <w:t>违反本条例第三十二条第二项至第四项和第三十三条第一款规定，由燃气主管部门责令停止违法行为，限期恢复原状或者采取其他补救措施，对单位处五万元以上十万元以下罚款，对个人处五千元以上五万元以下罚款；造成损失的，依法承担赔偿责任。</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hAnsi="仿宋" w:cs="楷体"/>
          <w:szCs w:val="32"/>
        </w:rPr>
        <w:t>违反本条例第三十二条第一项规定，在燃气设施保护范围内建设占压地下燃气管道线路的建筑物、构筑物或者其他设施的，依照有关城乡规划的法律、行政法规的规定进行处罚。</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第五十二条</w:t>
      </w:r>
      <w:r>
        <w:rPr>
          <w:rFonts w:hint="eastAsia" w:ascii="仿宋_GB2312"/>
          <w:szCs w:val="32"/>
        </w:rPr>
        <w:t xml:space="preserve">  </w:t>
      </w:r>
      <w:r>
        <w:rPr>
          <w:rFonts w:hint="eastAsia" w:ascii="仿宋_GB2312" w:hAnsi="仿宋" w:cs="楷体"/>
          <w:szCs w:val="32"/>
        </w:rPr>
        <w:t>违反本条例第三十六条规定，建设单位未会同施工单位与管道燃气经营者共同制定燃气设施保护方案，或者建设单位、施工单位未采取相应的安全保护措施的，由燃气主管部门责令改正，处一万元以上五万元以下罚款；造成损失的，依法承担赔偿责任。</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第五十三条</w:t>
      </w:r>
      <w:r>
        <w:rPr>
          <w:rFonts w:hint="eastAsia" w:ascii="仿宋_GB2312" w:hAnsi="仿宋"/>
          <w:szCs w:val="32"/>
        </w:rPr>
        <w:t>　</w:t>
      </w:r>
      <w:r>
        <w:rPr>
          <w:rFonts w:hint="eastAsia" w:ascii="仿宋_GB2312" w:hAnsi="仿宋" w:cs="楷体"/>
          <w:szCs w:val="32"/>
        </w:rPr>
        <w:t>违反本条例规定，市、县（区）人民政府及其燃气主管部门和其他有关部门及其工作人员，有下列行为之一的，对直接负责的主管人员和其他直接责任人员，依法给予处分；构成犯罪的，依法追究刑事责任：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hAnsi="仿宋" w:cs="楷体"/>
          <w:szCs w:val="32"/>
        </w:rPr>
        <w:t>（一）不依法作出行政许可决定或者办理批准文件的；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hAnsi="仿宋" w:cs="楷体"/>
          <w:szCs w:val="32"/>
        </w:rPr>
        <w:t>（二）发现违法行为或者接到对违法行为的举报不予查处的；</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hAnsi="仿宋" w:cs="楷体"/>
          <w:szCs w:val="32"/>
        </w:rPr>
        <w:t>（三）其他未依照本条例规定履行职责的行为。</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jc w:val="center"/>
        <w:textAlignment w:val="auto"/>
        <w:rPr>
          <w:rFonts w:ascii="黑体" w:hAnsi="黑体" w:eastAsia="黑体"/>
          <w:szCs w:val="32"/>
        </w:rPr>
      </w:pPr>
      <w:r>
        <w:rPr>
          <w:rFonts w:hint="eastAsia" w:ascii="黑体" w:hAnsi="黑体" w:eastAsia="黑体"/>
          <w:szCs w:val="32"/>
        </w:rPr>
        <w:t>第七章  附  则</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黑体" w:hAnsi="黑体" w:eastAsia="黑体"/>
          <w:szCs w:val="32"/>
        </w:rPr>
      </w:pP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黑体" w:hAnsi="黑体" w:eastAsia="黑体"/>
          <w:szCs w:val="32"/>
        </w:rPr>
        <w:t xml:space="preserve">第五十四条  </w:t>
      </w:r>
      <w:r>
        <w:rPr>
          <w:rFonts w:hint="eastAsia" w:ascii="仿宋_GB2312" w:hAnsi="仿宋" w:cs="楷体"/>
          <w:szCs w:val="32"/>
        </w:rPr>
        <w:t>本条例中有关用语的含义：</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hAnsi="仿宋" w:cs="楷体"/>
          <w:szCs w:val="32"/>
        </w:rPr>
        <w:t>（一）燃气设施，是指人工煤气生产厂、燃气储配站、门站、气化站、混气站、加气站、灌装站、供应站、调压站、瓶组站、发生炉煤气站、市政燃气管网等的总称，包括市政燃气设施、建筑区划内业主专有部分以外的燃气设施以及户内燃气设施等。</w:t>
      </w:r>
    </w:p>
    <w:p>
      <w:pPr>
        <w:keepNext w:val="0"/>
        <w:keepLines w:val="0"/>
        <w:pageBreakBefore w:val="0"/>
        <w:widowControl w:val="0"/>
        <w:kinsoku/>
        <w:wordWrap/>
        <w:overflowPunct/>
        <w:topLinePunct w:val="0"/>
        <w:autoSpaceDN/>
        <w:bidi w:val="0"/>
        <w:adjustRightInd w:val="0"/>
        <w:snapToGrid w:val="0"/>
        <w:spacing w:line="560" w:lineRule="exact"/>
        <w:ind w:firstLine="640" w:firstLineChars="200"/>
        <w:textAlignment w:val="auto"/>
        <w:rPr>
          <w:rFonts w:ascii="仿宋_GB2312" w:hAnsi="仿宋" w:cs="楷体"/>
          <w:szCs w:val="32"/>
        </w:rPr>
      </w:pPr>
      <w:r>
        <w:rPr>
          <w:rFonts w:hint="eastAsia" w:ascii="仿宋_GB2312" w:hAnsi="仿宋" w:cs="楷体"/>
          <w:szCs w:val="32"/>
        </w:rPr>
        <w:t>（二）燃气燃烧器具，是指以燃气为燃料的燃烧器具，包括居民家庭和商业用户所使用的燃气灶、热水器、沸水器、采暖器、空调器等器具。</w:t>
      </w:r>
    </w:p>
    <w:p>
      <w:pPr>
        <w:adjustRightInd w:val="0"/>
        <w:snapToGrid w:val="0"/>
        <w:spacing w:line="560" w:lineRule="exact"/>
        <w:ind w:firstLine="640" w:firstLineChars="200"/>
        <w:rPr>
          <w:rFonts w:ascii="仿宋_GB2312" w:hAnsi="仿宋" w:cs="楷体"/>
          <w:szCs w:val="32"/>
        </w:rPr>
      </w:pPr>
      <w:r>
        <w:rPr>
          <w:rFonts w:hint="eastAsia" w:ascii="黑体" w:hAnsi="黑体" w:eastAsia="黑体"/>
          <w:szCs w:val="32"/>
        </w:rPr>
        <w:t xml:space="preserve">第五十五条 </w:t>
      </w:r>
      <w:r>
        <w:rPr>
          <w:rFonts w:hint="eastAsia" w:ascii="仿宋_GB2312" w:hAnsi="仿宋"/>
          <w:b/>
          <w:szCs w:val="32"/>
        </w:rPr>
        <w:t xml:space="preserve"> </w:t>
      </w:r>
      <w:r>
        <w:rPr>
          <w:rFonts w:hint="eastAsia" w:ascii="仿宋_GB2312" w:hAnsi="仿宋" w:cs="楷体"/>
          <w:szCs w:val="32"/>
        </w:rPr>
        <w:t>本条例自2018年6月1日起施行。</w:t>
      </w:r>
    </w:p>
    <w:p/>
    <w:p/>
    <w:sectPr>
      <w:headerReference r:id="rId3" w:type="default"/>
      <w:footerReference r:id="rId5" w:type="default"/>
      <w:headerReference r:id="rId4" w:type="even"/>
      <w:footerReference r:id="rId6" w:type="even"/>
      <w:pgSz w:w="11906" w:h="16838"/>
      <w:pgMar w:top="2098" w:right="1531" w:bottom="1984" w:left="1531" w:header="851" w:footer="1587" w:gutter="0"/>
      <w:pgNumType w:fmt="decimal" w:start="1"/>
      <w:cols w:space="720" w:num="1"/>
      <w:rtlGutter w:val="0"/>
      <w:docGrid w:type="lines" w:linePitch="45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altName w:val="方正舒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tabs>
        <w:tab w:val="left" w:pos="5112"/>
      </w:tabs>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eastAsia="仿宋_GB2312"/>
        <w:lang w:val="en-US" w:eastAsia="zh-CN"/>
      </w:rPr>
    </w:pPr>
    <w:r>
      <w:rPr>
        <w:sz w:val="32"/>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grouping="f" rotation="f" text="f"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left"/>
                  <w:textAlignment w:val="auto"/>
                  <w:outlineLvl w:val="9"/>
                  <w:rPr>
                    <w:rFonts w:hint="eastAsia" w:eastAsia="仿宋_GB2312"/>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3</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w:r>
    <w:r>
      <w:rPr>
        <w:rFonts w:hint="eastAsia"/>
        <w:lang w:val="en-US"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8"/>
        <w:szCs w:val="28"/>
      </w:rPr>
    </w:pPr>
    <w:r>
      <w:rPr>
        <w:rFonts w:hint="eastAsia" w:ascii="宋体" w:hAnsi="宋体" w:eastAsia="宋体" w:cs="宋体"/>
        <w:sz w:val="28"/>
        <w:szCs w:val="28"/>
      </w:rPr>
      <w:pict>
        <v:shape id="_x0000_s4098" o:spid="_x0000_s4098"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v:imagedata o:title=""/>
          <o:lock v:ext="edit" grouping="f" rotation="f" text="f"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left"/>
                  <w:textAlignment w:val="auto"/>
                  <w:outlineLvl w:val="9"/>
                  <w:rPr>
                    <w:rFonts w:hint="eastAsia" w:eastAsia="仿宋_GB2312"/>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E1012"/>
    <w:multiLevelType w:val="singleLevel"/>
    <w:tmpl w:val="8F4E1012"/>
    <w:lvl w:ilvl="0" w:tentative="0">
      <w:start w:val="1"/>
      <w:numFmt w:val="chineseCounting"/>
      <w:suff w:val="nothing"/>
      <w:lvlText w:val="（%1）"/>
      <w:lvlJc w:val="left"/>
      <w:pPr>
        <w:ind w:left="0" w:firstLine="420"/>
      </w:pPr>
      <w:rPr>
        <w:rFonts w:hint="eastAsia"/>
      </w:rPr>
    </w:lvl>
  </w:abstractNum>
  <w:abstractNum w:abstractNumId="1">
    <w:nsid w:val="D7ECA8F1"/>
    <w:multiLevelType w:val="singleLevel"/>
    <w:tmpl w:val="D7ECA8F1"/>
    <w:lvl w:ilvl="0" w:tentative="0">
      <w:start w:val="1"/>
      <w:numFmt w:val="chineseCounting"/>
      <w:suff w:val="nothing"/>
      <w:lvlText w:val="（%1）"/>
      <w:lvlJc w:val="left"/>
      <w:pPr>
        <w:ind w:left="0" w:firstLine="420"/>
      </w:pPr>
      <w:rPr>
        <w:rFonts w:hint="eastAsia"/>
      </w:rPr>
    </w:lvl>
  </w:abstractNum>
  <w:abstractNum w:abstractNumId="2">
    <w:nsid w:val="DA0CBC5E"/>
    <w:multiLevelType w:val="singleLevel"/>
    <w:tmpl w:val="DA0CBC5E"/>
    <w:lvl w:ilvl="0" w:tentative="0">
      <w:start w:val="1"/>
      <w:numFmt w:val="chineseCounting"/>
      <w:suff w:val="nothing"/>
      <w:lvlText w:val="（%1）"/>
      <w:lvlJc w:val="left"/>
      <w:pPr>
        <w:ind w:left="0" w:firstLine="420"/>
      </w:pPr>
      <w:rPr>
        <w:rFonts w:hint="eastAsia"/>
      </w:rPr>
    </w:lvl>
  </w:abstractNum>
  <w:abstractNum w:abstractNumId="3">
    <w:nsid w:val="E7EFC324"/>
    <w:multiLevelType w:val="singleLevel"/>
    <w:tmpl w:val="E7EFC324"/>
    <w:lvl w:ilvl="0" w:tentative="0">
      <w:start w:val="1"/>
      <w:numFmt w:val="chineseCounting"/>
      <w:suff w:val="nothing"/>
      <w:lvlText w:val="（%1）"/>
      <w:lvlJc w:val="left"/>
      <w:pPr>
        <w:ind w:left="0" w:firstLine="420"/>
      </w:pPr>
      <w:rPr>
        <w:rFonts w:hint="eastAsia"/>
      </w:rPr>
    </w:lvl>
  </w:abstractNum>
  <w:abstractNum w:abstractNumId="4">
    <w:nsid w:val="09C04EEC"/>
    <w:multiLevelType w:val="singleLevel"/>
    <w:tmpl w:val="09C04EEC"/>
    <w:lvl w:ilvl="0" w:tentative="0">
      <w:start w:val="1"/>
      <w:numFmt w:val="chineseCounting"/>
      <w:suff w:val="nothing"/>
      <w:lvlText w:val="（%1）"/>
      <w:lvlJc w:val="left"/>
      <w:pPr>
        <w:ind w:left="0" w:firstLine="420"/>
      </w:pPr>
      <w:rPr>
        <w:rFonts w:hint="eastAsia"/>
      </w:rPr>
    </w:lvl>
  </w:abstractNum>
  <w:abstractNum w:abstractNumId="5">
    <w:nsid w:val="2A4D855C"/>
    <w:multiLevelType w:val="singleLevel"/>
    <w:tmpl w:val="2A4D855C"/>
    <w:lvl w:ilvl="0" w:tentative="0">
      <w:start w:val="1"/>
      <w:numFmt w:val="chineseCounting"/>
      <w:suff w:val="nothing"/>
      <w:lvlText w:val="（%1）"/>
      <w:lvlJc w:val="left"/>
      <w:pPr>
        <w:ind w:left="0" w:firstLine="420"/>
      </w:pPr>
      <w:rPr>
        <w:rFonts w:hint="eastAsia"/>
      </w:rPr>
    </w:lvl>
  </w:abstractNum>
  <w:abstractNum w:abstractNumId="6">
    <w:nsid w:val="45F9C0D8"/>
    <w:multiLevelType w:val="singleLevel"/>
    <w:tmpl w:val="45F9C0D8"/>
    <w:lvl w:ilvl="0" w:tentative="0">
      <w:start w:val="1"/>
      <w:numFmt w:val="chineseCounting"/>
      <w:suff w:val="nothing"/>
      <w:lvlText w:val="（%1）"/>
      <w:lvlJc w:val="left"/>
      <w:pPr>
        <w:ind w:left="0" w:firstLine="420"/>
      </w:pPr>
      <w:rPr>
        <w:rFonts w:hint="eastAsia"/>
      </w:rPr>
    </w:lvl>
  </w:abstractNum>
  <w:abstractNum w:abstractNumId="7">
    <w:nsid w:val="4F1633D6"/>
    <w:multiLevelType w:val="singleLevel"/>
    <w:tmpl w:val="4F1633D6"/>
    <w:lvl w:ilvl="0" w:tentative="0">
      <w:start w:val="1"/>
      <w:numFmt w:val="chineseCounting"/>
      <w:suff w:val="nothing"/>
      <w:lvlText w:val="（%1）"/>
      <w:lvlJc w:val="left"/>
      <w:pPr>
        <w:ind w:left="0" w:firstLine="420"/>
      </w:pPr>
      <w:rPr>
        <w:rFonts w:hint="eastAsia"/>
      </w:rPr>
    </w:lvl>
  </w:abstractNum>
  <w:abstractNum w:abstractNumId="8">
    <w:nsid w:val="678B9749"/>
    <w:multiLevelType w:val="singleLevel"/>
    <w:tmpl w:val="678B9749"/>
    <w:lvl w:ilvl="0" w:tentative="0">
      <w:start w:val="1"/>
      <w:numFmt w:val="chineseCounting"/>
      <w:suff w:val="nothing"/>
      <w:lvlText w:val="（%1）"/>
      <w:lvlJc w:val="left"/>
      <w:pPr>
        <w:ind w:left="0" w:firstLine="420"/>
      </w:pPr>
      <w:rPr>
        <w:rFonts w:hint="eastAsia"/>
      </w:rPr>
    </w:lvl>
  </w:abstractNum>
  <w:abstractNum w:abstractNumId="9">
    <w:nsid w:val="752F4E63"/>
    <w:multiLevelType w:val="singleLevel"/>
    <w:tmpl w:val="752F4E63"/>
    <w:lvl w:ilvl="0" w:tentative="0">
      <w:start w:val="1"/>
      <w:numFmt w:val="chineseCounting"/>
      <w:suff w:val="nothing"/>
      <w:lvlText w:val="（%1）"/>
      <w:lvlJc w:val="left"/>
      <w:pPr>
        <w:ind w:left="0" w:firstLine="420"/>
      </w:pPr>
      <w:rPr>
        <w:rFonts w:hint="eastAsia"/>
      </w:rPr>
    </w:lvl>
  </w:abstractNum>
  <w:num w:numId="1">
    <w:abstractNumId w:val="6"/>
  </w:num>
  <w:num w:numId="2">
    <w:abstractNumId w:val="4"/>
  </w:num>
  <w:num w:numId="3">
    <w:abstractNumId w:val="7"/>
  </w:num>
  <w:num w:numId="4">
    <w:abstractNumId w:val="1"/>
  </w:num>
  <w:num w:numId="5">
    <w:abstractNumId w:val="5"/>
  </w:num>
  <w:num w:numId="6">
    <w:abstractNumId w:val="0"/>
  </w:num>
  <w:num w:numId="7">
    <w:abstractNumId w:val="2"/>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2BD6788"/>
    <w:rsid w:val="34D851D6"/>
    <w:rsid w:val="4BB768E0"/>
    <w:rsid w:val="712A43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Calibri" w:hAnsi="Calibri" w:eastAsia="仿宋_GB2312" w:cs="黑体"/>
      <w:kern w:val="2"/>
      <w:sz w:val="32"/>
      <w:szCs w:val="24"/>
      <w:lang w:val="en-US" w:eastAsia="zh-CN"/>
    </w:rPr>
  </w:style>
  <w:style w:type="character" w:default="1" w:styleId="7">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2">
    <w:name w:val="Body Text First Indent 2"/>
    <w:basedOn w:val="3"/>
    <w:uiPriority w:val="0"/>
    <w:pPr>
      <w:spacing w:after="120" w:afterLines="0"/>
      <w:ind w:left="200" w:leftChars="200" w:firstLine="420" w:firstLineChars="200"/>
    </w:pPr>
    <w:rPr>
      <w:rFonts w:ascii="Times New Roman"/>
    </w:rPr>
  </w:style>
  <w:style w:type="paragraph" w:customStyle="1" w:styleId="3">
    <w:name w:val="Body Text Indent"/>
    <w:basedOn w:val="1"/>
    <w:uiPriority w:val="0"/>
    <w:pPr>
      <w:autoSpaceDE w:val="0"/>
      <w:autoSpaceDN w:val="0"/>
      <w:adjustRightInd w:val="0"/>
      <w:spacing w:line="360" w:lineRule="auto"/>
      <w:ind w:firstLine="720" w:firstLineChars="225"/>
      <w:jc w:val="left"/>
    </w:pPr>
    <w:rPr>
      <w:rFonts w:ascii="仿宋_GB2312" w:eastAsia="仿宋_GB2312"/>
      <w:kern w:val="0"/>
      <w:sz w:val="32"/>
      <w:szCs w:val="20"/>
      <w:lang w:val="zh-CN"/>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文本缩进 21"/>
    <w:basedOn w:val="1"/>
    <w:uiPriority w:val="0"/>
    <w:pPr>
      <w:spacing w:line="360" w:lineRule="exact"/>
      <w:ind w:firstLine="480" w:firstLineChars="200"/>
    </w:pPr>
    <w:rPr>
      <w:rFonts w:hint="eastAsia" w:ascii="仿宋_GB2312" w:hAnsi="宋体"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liaowen</dc:creator>
  <cp:lastModifiedBy>湖人进季后赛了吗</cp:lastModifiedBy>
  <dcterms:modified xsi:type="dcterms:W3CDTF">2021-08-19T01:28:55Z</dcterms:modified>
  <dc:title>萍乡市人民代表大会常务委员会关于修改</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6F2021CDCBB94C8F89198A93DAB03875</vt:lpwstr>
  </property>
</Properties>
</file>