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850" w:firstLineChars="200"/>
        <w:jc w:val="center"/>
        <w:rPr>
          <w:rFonts w:hint="eastAsia" w:ascii="宋体" w:hAnsi="宋体" w:eastAsia="宋体" w:cs="宋体"/>
          <w:snapToGrid w:val="0"/>
          <w:kern w:val="0"/>
          <w:sz w:val="32"/>
          <w:szCs w:val="32"/>
        </w:rPr>
      </w:pPr>
    </w:p>
    <w:p>
      <w:pPr>
        <w:spacing w:line="560" w:lineRule="exact"/>
        <w:ind w:firstLine="850" w:firstLineChars="200"/>
        <w:jc w:val="center"/>
        <w:rPr>
          <w:rFonts w:hint="eastAsia" w:ascii="宋体" w:hAnsi="宋体" w:eastAsia="宋体" w:cs="宋体"/>
          <w:snapToGrid w:val="0"/>
          <w:kern w:val="0"/>
          <w:sz w:val="32"/>
          <w:szCs w:val="32"/>
        </w:rPr>
      </w:pPr>
    </w:p>
    <w:p>
      <w:pPr>
        <w:spacing w:line="560" w:lineRule="exact"/>
        <w:jc w:val="center"/>
        <w:rPr>
          <w:rFonts w:hint="eastAsia" w:ascii="宋体" w:hAnsi="宋体" w:cs="宋体"/>
          <w:bCs/>
          <w:snapToGrid w:val="0"/>
          <w:kern w:val="0"/>
          <w:sz w:val="44"/>
          <w:szCs w:val="44"/>
        </w:rPr>
      </w:pPr>
      <w:r>
        <w:rPr>
          <w:rFonts w:hint="eastAsia" w:ascii="宋体" w:hAnsi="宋体" w:cs="宋体"/>
          <w:bCs/>
          <w:snapToGrid w:val="0"/>
          <w:kern w:val="0"/>
          <w:sz w:val="44"/>
          <w:szCs w:val="44"/>
        </w:rPr>
        <w:t>赣州市人民代表大会常务委员会关于</w:t>
      </w:r>
    </w:p>
    <w:p>
      <w:pPr>
        <w:spacing w:line="560" w:lineRule="exact"/>
        <w:jc w:val="center"/>
        <w:rPr>
          <w:rFonts w:ascii="宋体" w:hAnsi="宋体" w:cs="宋体"/>
          <w:bCs/>
          <w:snapToGrid w:val="0"/>
          <w:kern w:val="0"/>
          <w:sz w:val="44"/>
          <w:szCs w:val="44"/>
        </w:rPr>
      </w:pPr>
      <w:r>
        <w:rPr>
          <w:rFonts w:hint="eastAsia" w:ascii="宋体" w:hAnsi="宋体" w:cs="宋体"/>
          <w:bCs/>
          <w:snapToGrid w:val="0"/>
          <w:kern w:val="0"/>
          <w:sz w:val="44"/>
          <w:szCs w:val="44"/>
        </w:rPr>
        <w:t>修改《赣州市城市管理条例》等</w:t>
      </w:r>
    </w:p>
    <w:p>
      <w:pPr>
        <w:spacing w:line="560" w:lineRule="exact"/>
        <w:jc w:val="center"/>
        <w:rPr>
          <w:rFonts w:hint="eastAsia" w:ascii="楷体_GB2312" w:hAnsi="楷体_GB2312" w:eastAsia="楷体_GB2312" w:cs="楷体_GB2312"/>
          <w:snapToGrid w:val="0"/>
          <w:kern w:val="0"/>
          <w:sz w:val="32"/>
          <w:szCs w:val="32"/>
        </w:rPr>
      </w:pPr>
      <w:r>
        <w:rPr>
          <w:rFonts w:hint="eastAsia" w:ascii="宋体" w:hAnsi="宋体" w:cs="宋体"/>
          <w:bCs/>
          <w:snapToGrid w:val="0"/>
          <w:kern w:val="0"/>
          <w:sz w:val="44"/>
          <w:szCs w:val="44"/>
        </w:rPr>
        <w:t>3件地方性法规的决定</w:t>
      </w:r>
    </w:p>
    <w:p>
      <w:pPr>
        <w:keepNext w:val="0"/>
        <w:keepLines w:val="0"/>
        <w:pageBreakBefore w:val="0"/>
        <w:widowControl w:val="0"/>
        <w:kinsoku/>
        <w:wordWrap/>
        <w:overflowPunct/>
        <w:topLinePunct w:val="0"/>
        <w:autoSpaceDE/>
        <w:autoSpaceDN/>
        <w:bidi w:val="0"/>
        <w:adjustRightInd/>
        <w:snapToGrid/>
        <w:spacing w:line="560" w:lineRule="exact"/>
        <w:ind w:left="630" w:leftChars="200" w:right="630" w:rightChars="200" w:firstLine="0" w:firstLineChars="0"/>
        <w:jc w:val="both"/>
        <w:textAlignment w:val="auto"/>
        <w:outlineLvl w:val="9"/>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（2019年12月31日赣州市第五届人民代表大会常务委员会第二十五次会议通过  2020年3月27日江西省第十三届人民代表大会常务委员会第十九次会议批准）</w:t>
      </w:r>
    </w:p>
    <w:p>
      <w:pPr>
        <w:spacing w:line="560" w:lineRule="exact"/>
        <w:ind w:firstLine="850" w:firstLineChars="200"/>
        <w:jc w:val="center"/>
        <w:rPr>
          <w:rFonts w:hint="eastAsia" w:ascii="宋体" w:hAnsi="宋体" w:eastAsia="宋体" w:cs="宋体"/>
          <w:snapToGrid w:val="0"/>
          <w:kern w:val="0"/>
          <w:sz w:val="32"/>
          <w:szCs w:val="32"/>
        </w:rPr>
      </w:pPr>
    </w:p>
    <w:p>
      <w:pPr>
        <w:spacing w:line="560" w:lineRule="exact"/>
        <w:ind w:firstLine="637" w:firstLineChars="150"/>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赣州市第五届人民代表大会常务委员会第二十五次会议决定对《赣州市城市管理条例》等3件</w:t>
      </w:r>
      <w:bookmarkStart w:id="0" w:name="_GoBack"/>
      <w:bookmarkEnd w:id="0"/>
      <w:r>
        <w:rPr>
          <w:rFonts w:hint="eastAsia" w:ascii="宋体" w:hAnsi="宋体" w:eastAsia="仿宋_GB2312" w:cs="仿宋_GB2312"/>
          <w:snapToGrid w:val="0"/>
          <w:kern w:val="0"/>
          <w:sz w:val="32"/>
          <w:szCs w:val="32"/>
        </w:rPr>
        <w:t>地方性法规作如下修改：</w:t>
      </w:r>
    </w:p>
    <w:p>
      <w:pPr>
        <w:spacing w:line="560" w:lineRule="exact"/>
        <w:ind w:firstLine="637" w:firstLineChars="150"/>
        <w:rPr>
          <w:rFonts w:hint="eastAsia" w:ascii="宋体" w:hAnsi="宋体" w:eastAsia="黑体" w:cs="黑体"/>
          <w:snapToGrid w:val="0"/>
          <w:kern w:val="0"/>
          <w:sz w:val="32"/>
          <w:szCs w:val="32"/>
        </w:rPr>
      </w:pPr>
      <w:r>
        <w:rPr>
          <w:rFonts w:hint="eastAsia" w:ascii="宋体" w:hAnsi="宋体" w:eastAsia="黑体" w:cs="黑体"/>
          <w:snapToGrid w:val="0"/>
          <w:kern w:val="0"/>
          <w:sz w:val="32"/>
          <w:szCs w:val="32"/>
        </w:rPr>
        <w:t>一、《赣州市城市管理条例》的修改情况</w:t>
      </w:r>
    </w:p>
    <w:p>
      <w:pPr>
        <w:spacing w:line="560" w:lineRule="exact"/>
        <w:ind w:firstLine="637" w:firstLineChars="150"/>
        <w:rPr>
          <w:rFonts w:hint="eastAsia" w:eastAsia="仿宋_GB2312" w:cs="仿宋_GB2312"/>
          <w:snapToGrid w:val="0"/>
          <w:kern w:val="0"/>
          <w:sz w:val="32"/>
          <w:szCs w:val="32"/>
        </w:rPr>
      </w:pPr>
      <w:r>
        <w:rPr>
          <w:rFonts w:hint="eastAsia" w:ascii="宋体" w:hAnsi="宋体" w:eastAsia="仿宋_GB2312" w:cs="仿宋_GB2312"/>
          <w:snapToGrid w:val="0"/>
          <w:kern w:val="0"/>
          <w:sz w:val="32"/>
          <w:szCs w:val="32"/>
        </w:rPr>
        <w:t>（一）将第十一条修改为：“</w:t>
      </w:r>
      <w:r>
        <w:rPr>
          <w:rFonts w:hint="eastAsia" w:eastAsia="仿宋_GB2312" w:cs="仿宋_GB2312"/>
          <w:snapToGrid w:val="0"/>
          <w:kern w:val="0"/>
          <w:sz w:val="32"/>
          <w:szCs w:val="32"/>
        </w:rPr>
        <w:t>县级以上人民政府发展改革、工业和信息化、公安、财政、自然资源、住房和城乡建设、交通运输、水利、商务、文广新旅、生态环境、市场监督管理等部门，应当在各自职责范围内，共同做好城市管理的相关工作。”</w:t>
      </w:r>
    </w:p>
    <w:p>
      <w:pPr>
        <w:spacing w:line="560" w:lineRule="exact"/>
        <w:ind w:firstLine="637" w:firstLineChars="150"/>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（二）</w:t>
      </w:r>
      <w:r>
        <w:rPr>
          <w:rFonts w:hint="eastAsia" w:ascii="宋体" w:hAnsi="宋体" w:eastAsia="仿宋_GB2312"/>
          <w:snapToGrid w:val="0"/>
          <w:kern w:val="0"/>
          <w:sz w:val="32"/>
          <w:szCs w:val="32"/>
        </w:rPr>
        <w:t>将第四十六条第一款中的“城乡规划部门”修改为“自然资源主管部门”。</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（三）</w:t>
      </w:r>
      <w:r>
        <w:rPr>
          <w:rFonts w:hint="eastAsia" w:ascii="宋体" w:hAnsi="宋体" w:eastAsia="仿宋_GB2312"/>
          <w:snapToGrid w:val="0"/>
          <w:kern w:val="0"/>
          <w:sz w:val="32"/>
          <w:szCs w:val="32"/>
        </w:rPr>
        <w:t>将第四十八条第一款第二项中的“环境保护”修改为“生态环境”。</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snapToGrid w:val="0"/>
          <w:kern w:val="0"/>
          <w:sz w:val="32"/>
          <w:szCs w:val="32"/>
        </w:rPr>
        <w:t>（四）将第四十八条第一款第三项与第六项合并，作为第三项，修改为：“市场监督管理方面户外公共场所无照经营、违规设置户外广告、户外公共场所食品销售和餐饮摊点无证经营，以及违法回收贩卖药品的行政处罚权”。</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snapToGrid w:val="0"/>
          <w:kern w:val="0"/>
          <w:sz w:val="32"/>
          <w:szCs w:val="32"/>
        </w:rPr>
        <w:t>（五）将第四十八条第一款第七项修改为第六项。</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snapToGrid w:val="0"/>
          <w:kern w:val="0"/>
          <w:sz w:val="32"/>
          <w:szCs w:val="32"/>
        </w:rPr>
        <w:t>（六）将第七十八条第二款中的“环境保护主管部门”修改为“生态环境主管部门”。</w:t>
      </w:r>
    </w:p>
    <w:p>
      <w:pPr>
        <w:spacing w:line="560" w:lineRule="exact"/>
        <w:ind w:firstLine="637" w:firstLineChars="150"/>
        <w:rPr>
          <w:rFonts w:hint="eastAsia" w:ascii="宋体" w:hAnsi="宋体" w:eastAsia="黑体" w:cs="黑体"/>
          <w:snapToGrid w:val="0"/>
          <w:kern w:val="0"/>
          <w:sz w:val="32"/>
          <w:szCs w:val="32"/>
        </w:rPr>
      </w:pPr>
      <w:r>
        <w:rPr>
          <w:rFonts w:hint="eastAsia" w:ascii="宋体" w:hAnsi="宋体" w:eastAsia="黑体" w:cs="黑体"/>
          <w:snapToGrid w:val="0"/>
          <w:kern w:val="0"/>
          <w:sz w:val="32"/>
          <w:szCs w:val="32"/>
        </w:rPr>
        <w:t>二、《</w:t>
      </w:r>
      <w:r>
        <w:rPr>
          <w:rFonts w:hint="eastAsia" w:ascii="宋体" w:hAnsi="宋体" w:eastAsia="黑体"/>
          <w:snapToGrid w:val="0"/>
          <w:kern w:val="0"/>
          <w:sz w:val="32"/>
          <w:szCs w:val="32"/>
        </w:rPr>
        <w:t>赣州市城市道路车辆通行管理规定</w:t>
      </w:r>
      <w:r>
        <w:rPr>
          <w:rFonts w:hint="eastAsia" w:ascii="宋体" w:hAnsi="宋体" w:eastAsia="黑体" w:cs="黑体"/>
          <w:snapToGrid w:val="0"/>
          <w:kern w:val="0"/>
          <w:sz w:val="32"/>
          <w:szCs w:val="32"/>
        </w:rPr>
        <w:t>》的修改情况</w:t>
      </w:r>
    </w:p>
    <w:p>
      <w:pPr>
        <w:spacing w:line="560" w:lineRule="exact"/>
        <w:ind w:firstLine="637" w:firstLineChars="150"/>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（一）</w:t>
      </w:r>
      <w:r>
        <w:rPr>
          <w:rFonts w:hint="eastAsia" w:ascii="宋体" w:hAnsi="宋体" w:eastAsia="仿宋_GB2312"/>
          <w:snapToGrid w:val="0"/>
          <w:kern w:val="0"/>
          <w:sz w:val="32"/>
          <w:szCs w:val="32"/>
        </w:rPr>
        <w:t>将第三条第二款</w:t>
      </w:r>
      <w:r>
        <w:rPr>
          <w:rFonts w:hint="eastAsia" w:ascii="宋体" w:hAnsi="宋体" w:eastAsia="仿宋_GB2312" w:cs="仿宋_GB2312"/>
          <w:snapToGrid w:val="0"/>
          <w:kern w:val="0"/>
          <w:sz w:val="32"/>
          <w:szCs w:val="32"/>
        </w:rPr>
        <w:t>修改为：“</w:t>
      </w:r>
      <w:r>
        <w:rPr>
          <w:rFonts w:hint="eastAsia" w:eastAsia="仿宋_GB2312" w:cs="仿宋_GB2312"/>
          <w:snapToGrid w:val="0"/>
          <w:kern w:val="0"/>
          <w:sz w:val="32"/>
          <w:szCs w:val="32"/>
        </w:rPr>
        <w:t>公安机关交通管理部门负责本行政区域内城市道路车辆通行管理工作。自然资源、住房和城乡建设、工业和信息化、市场监督管理、城市管理、交通运输、应急管理、教育、财政、发展改革等部门应当按照各自职责，依法做好城市道路车辆通行的相关管理工作。</w:t>
      </w:r>
      <w:r>
        <w:rPr>
          <w:rFonts w:hint="eastAsia" w:ascii="宋体" w:hAnsi="宋体" w:eastAsia="仿宋_GB2312" w:cs="仿宋_GB2312"/>
          <w:snapToGrid w:val="0"/>
          <w:kern w:val="0"/>
          <w:sz w:val="32"/>
          <w:szCs w:val="32"/>
        </w:rPr>
        <w:t>”</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（二）</w:t>
      </w:r>
      <w:r>
        <w:rPr>
          <w:rFonts w:hint="eastAsia" w:ascii="宋体" w:hAnsi="宋体" w:eastAsia="仿宋_GB2312"/>
          <w:snapToGrid w:val="0"/>
          <w:kern w:val="0"/>
          <w:sz w:val="32"/>
          <w:szCs w:val="32"/>
        </w:rPr>
        <w:t>将第七条中的“城市规划、建设主管部门”修改为“自然资源、住房和城乡建设主管部门”。</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（三）</w:t>
      </w:r>
      <w:r>
        <w:rPr>
          <w:rFonts w:hint="eastAsia" w:ascii="宋体" w:hAnsi="宋体" w:eastAsia="仿宋_GB2312"/>
          <w:snapToGrid w:val="0"/>
          <w:kern w:val="0"/>
          <w:sz w:val="32"/>
          <w:szCs w:val="32"/>
        </w:rPr>
        <w:t>将第八条第一款中的“安全生产监督管理”修改为“应急管理”。</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snapToGrid w:val="0"/>
          <w:kern w:val="0"/>
          <w:sz w:val="32"/>
          <w:szCs w:val="32"/>
        </w:rPr>
        <w:t>（四）将第四十九条中的“行政处分”修改为“处分”。</w:t>
      </w:r>
    </w:p>
    <w:p>
      <w:pPr>
        <w:spacing w:line="560" w:lineRule="exact"/>
        <w:ind w:firstLine="637" w:firstLineChars="150"/>
        <w:rPr>
          <w:rFonts w:hint="eastAsia" w:ascii="宋体" w:hAnsi="宋体" w:eastAsia="黑体"/>
          <w:snapToGrid w:val="0"/>
          <w:kern w:val="0"/>
          <w:sz w:val="32"/>
          <w:szCs w:val="32"/>
        </w:rPr>
      </w:pPr>
      <w:r>
        <w:rPr>
          <w:rFonts w:hint="eastAsia" w:ascii="宋体" w:hAnsi="宋体" w:eastAsia="黑体"/>
          <w:snapToGrid w:val="0"/>
          <w:kern w:val="0"/>
          <w:sz w:val="32"/>
          <w:szCs w:val="32"/>
        </w:rPr>
        <w:t>三、《赣南客家围屋保护条例》</w:t>
      </w:r>
      <w:r>
        <w:rPr>
          <w:rFonts w:hint="eastAsia" w:ascii="宋体" w:hAnsi="宋体" w:eastAsia="黑体" w:cs="黑体"/>
          <w:snapToGrid w:val="0"/>
          <w:kern w:val="0"/>
          <w:sz w:val="32"/>
          <w:szCs w:val="32"/>
        </w:rPr>
        <w:t>的修改情况</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（一）</w:t>
      </w:r>
      <w:r>
        <w:rPr>
          <w:rFonts w:hint="eastAsia" w:ascii="宋体" w:hAnsi="宋体" w:eastAsia="仿宋_GB2312"/>
          <w:snapToGrid w:val="0"/>
          <w:kern w:val="0"/>
          <w:sz w:val="32"/>
          <w:szCs w:val="32"/>
        </w:rPr>
        <w:t>将第四条第二款、第七条第二款、第十一条、第十二条第五项、第十三条、第十五条第四款、第十七条、第二十二条第一款、第二十五条、第二十六条、第三十五条、第四十条、第四十一条中的“文物行政部门”修改为“文物主管部门”。</w:t>
      </w:r>
    </w:p>
    <w:p>
      <w:pPr>
        <w:spacing w:line="560" w:lineRule="exact"/>
        <w:ind w:firstLine="637" w:firstLineChars="150"/>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（二）</w:t>
      </w:r>
      <w:r>
        <w:rPr>
          <w:rFonts w:hint="eastAsia" w:eastAsia="仿宋_GB2312" w:cs="仿宋_GB2312"/>
          <w:snapToGrid w:val="0"/>
          <w:kern w:val="0"/>
          <w:sz w:val="32"/>
          <w:szCs w:val="32"/>
        </w:rPr>
        <w:t>将第四条第三款修改为：“</w:t>
      </w:r>
      <w:r>
        <w:rPr>
          <w:rFonts w:hint="eastAsia" w:eastAsia="仿宋_GB2312" w:cs="仿宋_GB2312"/>
          <w:snapToGrid w:val="0"/>
          <w:color w:val="000000"/>
          <w:kern w:val="0"/>
          <w:sz w:val="32"/>
          <w:szCs w:val="32"/>
        </w:rPr>
        <w:t>发展改革、自然资源、住房和城乡建设、财政、农业农村、交通运输、生态环境、公安、应急管理等部门应当按照各自职责，做好赣南客家围屋保护的相关工作。”</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（三）将</w:t>
      </w:r>
      <w:r>
        <w:rPr>
          <w:rFonts w:hint="eastAsia" w:ascii="宋体" w:hAnsi="宋体" w:eastAsia="仿宋_GB2312"/>
          <w:snapToGrid w:val="0"/>
          <w:kern w:val="0"/>
          <w:sz w:val="32"/>
          <w:szCs w:val="32"/>
        </w:rPr>
        <w:t>第十七条第四款中的“文物、旅游行政部门”修改为“文物主管部门”。</w:t>
      </w:r>
    </w:p>
    <w:p>
      <w:pPr>
        <w:spacing w:line="560" w:lineRule="exact"/>
        <w:ind w:firstLine="637" w:firstLineChars="150"/>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本决定自公布之日起施行。</w:t>
      </w:r>
    </w:p>
    <w:p>
      <w:pPr>
        <w:spacing w:line="560" w:lineRule="exact"/>
        <w:ind w:firstLine="637" w:firstLineChars="150"/>
        <w:rPr>
          <w:rFonts w:hint="eastAsia" w:ascii="宋体" w:hAnsi="宋体" w:eastAsia="仿宋_GB2312"/>
          <w:snapToGrid w:val="0"/>
          <w:kern w:val="0"/>
          <w:sz w:val="32"/>
          <w:szCs w:val="32"/>
        </w:rPr>
      </w:pPr>
      <w:r>
        <w:rPr>
          <w:rFonts w:hint="eastAsia" w:ascii="宋体" w:hAnsi="宋体" w:eastAsia="仿宋_GB2312" w:cs="仿宋_GB2312"/>
          <w:snapToGrid w:val="0"/>
          <w:kern w:val="0"/>
          <w:sz w:val="32"/>
          <w:szCs w:val="32"/>
        </w:rPr>
        <w:t>上述3件地方性法规根据本决定作相应修改，条文顺序作相应调整后，重新公布。</w:t>
      </w:r>
    </w:p>
    <w:p>
      <w:pPr>
        <w:spacing w:line="560" w:lineRule="exact"/>
        <w:rPr>
          <w:snapToGrid w:val="0"/>
          <w:kern w:val="0"/>
        </w:rPr>
      </w:pPr>
    </w:p>
    <w:p>
      <w:pPr>
        <w:spacing w:line="560" w:lineRule="exact"/>
        <w:rPr>
          <w:snapToGrid w:val="0"/>
          <w:kern w:val="0"/>
        </w:rPr>
      </w:pPr>
    </w:p>
    <w:p>
      <w:pPr>
        <w:rPr>
          <w:snapToGrid w:val="0"/>
          <w:kern w:val="0"/>
        </w:rPr>
      </w:pPr>
    </w:p>
    <w:sectPr>
      <w:footerReference r:id="rId3" w:type="default"/>
      <w:footerReference r:id="rId4" w:type="even"/>
      <w:pgSz w:w="11906" w:h="16838"/>
      <w:pgMar w:top="2098" w:right="1531" w:bottom="1985" w:left="1531" w:header="851" w:footer="1588" w:gutter="0"/>
      <w:pgNumType w:fmt="numberInDash" w:start="1"/>
      <w:cols w:space="720" w:num="1"/>
      <w:docGrid w:type="linesAndChars" w:linePitch="579" w:charSpace="21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wordWrap w:val="0"/>
      <w:jc w:val="right"/>
      <w:rPr>
        <w:rStyle w:val="5"/>
        <w:rFonts w:hint="eastAsia" w:ascii="宋体" w:hAnsi="宋体"/>
        <w:sz w:val="28"/>
        <w:szCs w:val="28"/>
      </w:rPr>
    </w:pPr>
    <w:r>
      <w:rPr>
        <w:rStyle w:val="5"/>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- 2 -</w:t>
    </w:r>
    <w:r>
      <w:rPr>
        <w:rFonts w:ascii="宋体" w:hAnsi="宋体"/>
        <w:sz w:val="28"/>
        <w:szCs w:val="28"/>
      </w:rPr>
      <w:fldChar w:fldCharType="end"/>
    </w:r>
    <w:r>
      <w:rPr>
        <w:rFonts w:hint="eastAsia" w:ascii="宋体" w:hAnsi="宋体"/>
        <w:sz w:val="28"/>
        <w:szCs w:val="28"/>
      </w:rPr>
      <w:t xml:space="preserve"> </w:t>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separate"/>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6984ECA"/>
    <w:rsid w:val="512E6EB7"/>
    <w:rsid w:val="57B556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1</Pages>
  <Words>165</Words>
  <Characters>942</Characters>
  <Lines>7</Lines>
  <Paragraphs>2</Paragraphs>
  <TotalTime>54</TotalTime>
  <ScaleCrop>false</ScaleCrop>
  <LinksUpToDate>false</LinksUpToDate>
  <CharactersWithSpaces>1105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fgw-04</dc:creator>
  <cp:lastModifiedBy>雷明霞</cp:lastModifiedBy>
  <dcterms:modified xsi:type="dcterms:W3CDTF">2020-06-11T03:07:33Z</dcterms:modified>
  <dc:title>赣州市人民代表大会常务委员会关于</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