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eastAsia="宋体" w:cs="宋体"/>
          <w:color w:val="000000" w:themeColor="text1"/>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ascii="宋体" w:hAnsi="宋体" w:eastAsia="宋体" w:cs="宋体"/>
          <w:color w:val="000000" w:themeColor="text1"/>
          <w:sz w:val="32"/>
          <w:szCs w:val="32"/>
        </w:rPr>
      </w:pPr>
    </w:p>
    <w:p>
      <w:pPr>
        <w:pStyle w:val="3"/>
        <w:pageBreakBefore w:val="0"/>
        <w:kinsoku/>
        <w:wordWrap/>
        <w:overflowPunct/>
        <w:topLinePunct w:val="0"/>
        <w:autoSpaceDE/>
        <w:autoSpaceDN/>
        <w:bidi w:val="0"/>
        <w:adjustRightInd/>
        <w:snapToGrid/>
        <w:spacing w:before="0" w:after="0" w:line="560" w:lineRule="exact"/>
        <w:jc w:val="center"/>
        <w:textAlignment w:val="auto"/>
        <w:rPr>
          <w:rFonts w:hint="eastAsia" w:ascii="宋体" w:hAnsi="宋体" w:eastAsia="宋体" w:cs="宋体"/>
          <w:b w:val="0"/>
          <w:bCs w:val="0"/>
          <w:color w:val="000000" w:themeColor="text1"/>
          <w:kern w:val="2"/>
          <w:sz w:val="44"/>
          <w:szCs w:val="44"/>
          <w:lang w:val="en-US" w:eastAsia="zh-CN" w:bidi="ar-SA"/>
        </w:rPr>
      </w:pPr>
      <w:r>
        <w:rPr>
          <w:rFonts w:hint="eastAsia" w:ascii="宋体" w:hAnsi="宋体" w:eastAsia="宋体" w:cs="宋体"/>
          <w:b w:val="0"/>
          <w:bCs w:val="0"/>
          <w:color w:val="000000" w:themeColor="text1"/>
          <w:kern w:val="2"/>
          <w:sz w:val="44"/>
          <w:szCs w:val="44"/>
          <w:lang w:val="en-US" w:eastAsia="zh-CN" w:bidi="ar-SA"/>
        </w:rPr>
        <w:t>鹰潭市烟花爆竹销售燃放管理条例</w:t>
      </w:r>
    </w:p>
    <w:p>
      <w:pPr>
        <w:pageBreakBefore w:val="0"/>
        <w:kinsoku/>
        <w:wordWrap/>
        <w:overflowPunct/>
        <w:topLinePunct w:val="0"/>
        <w:autoSpaceDE/>
        <w:autoSpaceDN/>
        <w:bidi w:val="0"/>
        <w:adjustRightInd/>
        <w:snapToGrid/>
        <w:spacing w:line="560" w:lineRule="exact"/>
        <w:jc w:val="center"/>
        <w:textAlignment w:val="auto"/>
        <w:rPr>
          <w:rFonts w:ascii="楷体_GB2312" w:hAnsi="楷体_GB2312"/>
          <w:color w:val="000000" w:themeColor="text1"/>
          <w:sz w:val="32"/>
          <w:szCs w:val="32"/>
        </w:rPr>
      </w:pP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color w:val="000000" w:themeColor="text1"/>
          <w:sz w:val="32"/>
          <w:szCs w:val="32"/>
        </w:rPr>
      </w:pPr>
      <w:r>
        <w:rPr>
          <w:rFonts w:ascii="楷体_GB2312" w:hAnsi="楷体_GB2312"/>
          <w:color w:val="000000" w:themeColor="text1"/>
          <w:sz w:val="32"/>
          <w:szCs w:val="32"/>
        </w:rPr>
        <w:t xml:space="preserve"> </w:t>
      </w:r>
      <w:r>
        <w:rPr>
          <w:rFonts w:hint="eastAsia" w:ascii="楷体_GB2312" w:eastAsia="楷体_GB2312"/>
          <w:color w:val="000000" w:themeColor="text1"/>
          <w:sz w:val="32"/>
          <w:szCs w:val="32"/>
        </w:rPr>
        <w:t>（2020年12月17日鹰潭市第九届人民代表大会常务</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hint="eastAsia" w:ascii="楷体_GB2312" w:eastAsia="楷体_GB2312"/>
          <w:color w:val="000000" w:themeColor="text1"/>
          <w:w w:val="97"/>
          <w:sz w:val="32"/>
          <w:szCs w:val="32"/>
        </w:rPr>
      </w:pPr>
      <w:r>
        <w:rPr>
          <w:rFonts w:hint="eastAsia" w:ascii="楷体_GB2312" w:eastAsia="楷体_GB2312"/>
          <w:color w:val="000000" w:themeColor="text1"/>
          <w:w w:val="97"/>
          <w:sz w:val="32"/>
          <w:szCs w:val="32"/>
        </w:rPr>
        <w:t>委员会第</w:t>
      </w:r>
      <w:r>
        <w:rPr>
          <w:rFonts w:hint="eastAsia" w:ascii="楷体_GB2312" w:eastAsia="楷体_GB2312"/>
          <w:color w:val="000000" w:themeColor="text1"/>
          <w:w w:val="97"/>
          <w:sz w:val="32"/>
          <w:szCs w:val="32"/>
          <w:lang w:eastAsia="zh-CN"/>
        </w:rPr>
        <w:t>四十二</w:t>
      </w:r>
      <w:r>
        <w:rPr>
          <w:rFonts w:hint="eastAsia" w:ascii="楷体_GB2312" w:eastAsia="楷体_GB2312"/>
          <w:color w:val="000000" w:themeColor="text1"/>
          <w:w w:val="97"/>
          <w:sz w:val="32"/>
          <w:szCs w:val="32"/>
        </w:rPr>
        <w:t>次会议通过</w:t>
      </w:r>
      <w:r>
        <w:rPr>
          <w:rFonts w:ascii="楷体_GB2312" w:eastAsia="楷体_GB2312"/>
          <w:color w:val="000000" w:themeColor="text1"/>
          <w:w w:val="97"/>
          <w:sz w:val="32"/>
          <w:szCs w:val="32"/>
        </w:rPr>
        <w:t xml:space="preserve"> </w:t>
      </w:r>
      <w:r>
        <w:rPr>
          <w:rFonts w:hint="eastAsia" w:ascii="楷体_GB2312" w:eastAsia="楷体_GB2312"/>
          <w:color w:val="000000" w:themeColor="text1"/>
          <w:w w:val="97"/>
          <w:sz w:val="32"/>
          <w:szCs w:val="32"/>
          <w:lang w:val="en-US" w:eastAsia="zh-CN"/>
        </w:rPr>
        <w:t xml:space="preserve"> </w:t>
      </w:r>
      <w:r>
        <w:rPr>
          <w:rFonts w:ascii="楷体_GB2312" w:eastAsia="楷体_GB2312"/>
          <w:color w:val="000000" w:themeColor="text1"/>
          <w:w w:val="97"/>
          <w:sz w:val="32"/>
          <w:szCs w:val="32"/>
        </w:rPr>
        <w:t xml:space="preserve"> 20</w:t>
      </w:r>
      <w:r>
        <w:rPr>
          <w:rFonts w:hint="eastAsia" w:ascii="楷体_GB2312" w:eastAsia="楷体_GB2312"/>
          <w:color w:val="000000" w:themeColor="text1"/>
          <w:w w:val="97"/>
          <w:sz w:val="32"/>
          <w:szCs w:val="32"/>
          <w:lang w:val="en-US" w:eastAsia="zh-CN"/>
        </w:rPr>
        <w:t>21</w:t>
      </w:r>
      <w:r>
        <w:rPr>
          <w:rFonts w:hint="eastAsia" w:ascii="楷体_GB2312" w:eastAsia="楷体_GB2312"/>
          <w:color w:val="000000" w:themeColor="text1"/>
          <w:w w:val="97"/>
          <w:sz w:val="32"/>
          <w:szCs w:val="32"/>
        </w:rPr>
        <w:t>年</w:t>
      </w:r>
      <w:r>
        <w:rPr>
          <w:rFonts w:hint="eastAsia" w:ascii="楷体_GB2312" w:eastAsia="楷体_GB2312"/>
          <w:color w:val="000000" w:themeColor="text1"/>
          <w:w w:val="97"/>
          <w:sz w:val="32"/>
          <w:szCs w:val="32"/>
          <w:lang w:val="en-US" w:eastAsia="zh-CN"/>
        </w:rPr>
        <w:t>3</w:t>
      </w:r>
      <w:r>
        <w:rPr>
          <w:rFonts w:hint="eastAsia" w:ascii="楷体_GB2312" w:eastAsia="楷体_GB2312"/>
          <w:color w:val="000000" w:themeColor="text1"/>
          <w:w w:val="97"/>
          <w:sz w:val="32"/>
          <w:szCs w:val="32"/>
        </w:rPr>
        <w:t>月</w:t>
      </w:r>
      <w:r>
        <w:rPr>
          <w:rFonts w:hint="eastAsia" w:ascii="楷体_GB2312" w:eastAsia="楷体_GB2312"/>
          <w:color w:val="000000" w:themeColor="text1"/>
          <w:w w:val="97"/>
          <w:sz w:val="32"/>
          <w:szCs w:val="32"/>
          <w:lang w:val="en-US" w:eastAsia="zh-CN"/>
        </w:rPr>
        <w:t>26</w:t>
      </w:r>
      <w:r>
        <w:rPr>
          <w:rFonts w:hint="eastAsia" w:ascii="楷体_GB2312" w:eastAsia="楷体_GB2312"/>
          <w:color w:val="000000" w:themeColor="text1"/>
          <w:w w:val="97"/>
          <w:sz w:val="32"/>
          <w:szCs w:val="32"/>
        </w:rPr>
        <w:t>日江西省</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color w:val="000000" w:themeColor="text1"/>
          <w:spacing w:val="-6"/>
          <w:sz w:val="32"/>
          <w:szCs w:val="32"/>
        </w:rPr>
      </w:pPr>
      <w:r>
        <w:rPr>
          <w:rFonts w:hint="eastAsia" w:ascii="楷体_GB2312" w:eastAsia="楷体_GB2312"/>
          <w:color w:val="000000" w:themeColor="text1"/>
          <w:spacing w:val="-6"/>
          <w:sz w:val="32"/>
          <w:szCs w:val="32"/>
          <w:lang w:val="en-US" w:eastAsia="zh-CN"/>
        </w:rPr>
        <w:t xml:space="preserve"> </w:t>
      </w:r>
      <w:r>
        <w:rPr>
          <w:rFonts w:hint="eastAsia" w:ascii="楷体_GB2312" w:eastAsia="楷体_GB2312"/>
          <w:color w:val="000000" w:themeColor="text1"/>
          <w:spacing w:val="-6"/>
          <w:sz w:val="32"/>
          <w:szCs w:val="32"/>
        </w:rPr>
        <w:t>第十三届人民代表大会常务委员会第</w:t>
      </w:r>
      <w:r>
        <w:rPr>
          <w:rFonts w:hint="eastAsia" w:ascii="楷体_GB2312" w:eastAsia="楷体_GB2312"/>
          <w:color w:val="000000" w:themeColor="text1"/>
          <w:spacing w:val="-6"/>
          <w:sz w:val="32"/>
          <w:szCs w:val="32"/>
          <w:lang w:eastAsia="zh-CN"/>
        </w:rPr>
        <w:t>二十八</w:t>
      </w:r>
      <w:r>
        <w:rPr>
          <w:rFonts w:hint="eastAsia" w:ascii="楷体_GB2312" w:eastAsia="楷体_GB2312"/>
          <w:color w:val="000000" w:themeColor="text1"/>
          <w:spacing w:val="-6"/>
          <w:sz w:val="32"/>
          <w:szCs w:val="32"/>
        </w:rPr>
        <w:t>次会议批准）</w:t>
      </w:r>
    </w:p>
    <w:p>
      <w:pPr>
        <w:keepNext w:val="0"/>
        <w:keepLines w:val="0"/>
        <w:pageBreakBefore w:val="0"/>
        <w:shd w:val="clear"/>
        <w:kinsoku/>
        <w:wordWrap/>
        <w:overflowPunct/>
        <w:topLinePunct w:val="0"/>
        <w:autoSpaceDE/>
        <w:autoSpaceDN/>
        <w:bidi w:val="0"/>
        <w:adjustRightInd/>
        <w:snapToGrid/>
        <w:spacing w:line="560" w:lineRule="exact"/>
        <w:jc w:val="center"/>
        <w:textAlignment w:val="auto"/>
        <w:rPr>
          <w:rFonts w:ascii="楷体_GB2312" w:eastAsia="楷体_GB2312"/>
          <w:color w:val="000000" w:themeColor="text1"/>
          <w:sz w:val="32"/>
          <w:szCs w:val="32"/>
        </w:rPr>
      </w:pPr>
    </w:p>
    <w:p>
      <w:pPr>
        <w:keepNext w:val="0"/>
        <w:keepLines w:val="0"/>
        <w:pageBreakBefore w:val="0"/>
        <w:widowControl/>
        <w:kinsoku/>
        <w:wordWrap/>
        <w:overflowPunct/>
        <w:topLinePunct w:val="0"/>
        <w:autoSpaceDE/>
        <w:autoSpaceDN/>
        <w:bidi w:val="0"/>
        <w:adjustRightInd/>
        <w:snapToGrid/>
        <w:spacing w:line="560" w:lineRule="exact"/>
        <w:ind w:firstLine="640"/>
        <w:jc w:val="left"/>
        <w:textAlignment w:val="auto"/>
        <w:rPr>
          <w:rFonts w:hint="eastAsia" w:ascii="仿宋_GB2312" w:hAnsi="仿宋_GB2312" w:eastAsia="仿宋_GB2312" w:cs="仿宋_GB2312"/>
          <w:color w:val="000000" w:themeColor="text1"/>
          <w:kern w:val="0"/>
          <w:sz w:val="32"/>
          <w:szCs w:val="32"/>
        </w:rPr>
      </w:pPr>
      <w:r>
        <w:rPr>
          <w:rFonts w:hint="eastAsia" w:ascii="黑体" w:hAnsi="黑体" w:eastAsia="黑体" w:cs="黑体"/>
          <w:color w:val="000000" w:themeColor="text1"/>
          <w:kern w:val="0"/>
          <w:sz w:val="32"/>
          <w:szCs w:val="32"/>
        </w:rPr>
        <w:t>第一条</w:t>
      </w:r>
      <w:r>
        <w:rPr>
          <w:rFonts w:hint="eastAsia" w:ascii="仿宋_GB2312" w:hAnsi="仿宋_GB2312" w:eastAsia="仿宋_GB2312" w:cs="仿宋_GB2312"/>
          <w:b/>
          <w:bCs/>
          <w:color w:val="000000" w:themeColor="text1"/>
          <w:kern w:val="0"/>
          <w:sz w:val="32"/>
          <w:szCs w:val="32"/>
        </w:rPr>
        <w:t xml:space="preserve"> </w:t>
      </w:r>
      <w:r>
        <w:rPr>
          <w:rFonts w:hint="eastAsia" w:ascii="仿宋_GB2312" w:hAnsi="仿宋_GB2312" w:eastAsia="仿宋_GB2312" w:cs="仿宋_GB2312"/>
          <w:b/>
          <w:bCs/>
          <w:color w:val="000000" w:themeColor="text1"/>
          <w:kern w:val="0"/>
          <w:sz w:val="32"/>
          <w:szCs w:val="32"/>
          <w:lang w:val="en-US" w:eastAsia="zh-CN"/>
        </w:rPr>
        <w:t xml:space="preserve"> </w:t>
      </w:r>
      <w:r>
        <w:rPr>
          <w:rFonts w:hint="eastAsia" w:ascii="仿宋_GB2312" w:hAnsi="仿宋_GB2312" w:eastAsia="仿宋_GB2312" w:cs="仿宋_GB2312"/>
          <w:color w:val="000000" w:themeColor="text1"/>
          <w:kern w:val="0"/>
          <w:sz w:val="32"/>
          <w:szCs w:val="32"/>
        </w:rPr>
        <w:t>为了加强烟花爆竹销售、燃放管理，保护和改善环境，保障公共安全和人身、财产安全，根据《中华人民共和国大气污染防治法》《烟花爆竹安全管理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第二条</w:t>
      </w:r>
      <w:r>
        <w:rPr>
          <w:rFonts w:hint="eastAsia" w:ascii="仿宋_GB2312" w:hAnsi="新宋体" w:eastAsia="仿宋_GB2312" w:cs="新宋体"/>
          <w:color w:val="000000" w:themeColor="text1"/>
          <w:sz w:val="32"/>
          <w:szCs w:val="32"/>
        </w:rPr>
        <w:t xml:space="preserve">  本市行政区域内烟花爆竹的销售、燃放管理，适用本条例。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第三条</w:t>
      </w:r>
      <w:r>
        <w:rPr>
          <w:rFonts w:hint="eastAsia" w:ascii="仿宋_GB2312" w:hAnsi="新宋体" w:eastAsia="仿宋_GB2312" w:cs="新宋体"/>
          <w:color w:val="000000" w:themeColor="text1"/>
          <w:sz w:val="32"/>
          <w:szCs w:val="32"/>
        </w:rPr>
        <w:t xml:space="preserve">  市、区（市）人民政府应当加强对烟花爆竹销售、燃放管理工作的领导，统筹协调烟花爆竹销售、燃放管理工作中的重大事项。</w:t>
      </w:r>
    </w:p>
    <w:p>
      <w:pPr>
        <w:keepNext w:val="0"/>
        <w:keepLines w:val="0"/>
        <w:pageBreakBefore w:val="0"/>
        <w:widowControl w:val="0"/>
        <w:numPr>
          <w:ins w:id="0" w:author="Administrator" w:date=""/>
        </w:numPr>
        <w:shd w:val="clear" w:color="auto" w:fill="FFFFFF"/>
        <w:kinsoku/>
        <w:wordWrap/>
        <w:overflowPunct/>
        <w:topLinePunct w:val="0"/>
        <w:autoSpaceDE/>
        <w:autoSpaceDN/>
        <w:bidi w:val="0"/>
        <w:adjustRightInd/>
        <w:snapToGrid/>
        <w:spacing w:before="0" w:beforeAutospacing="0" w:after="0" w:afterAutospacing="0" w:line="560" w:lineRule="exact"/>
        <w:ind w:firstLine="640"/>
        <w:jc w:val="left"/>
        <w:textAlignment w:val="auto"/>
        <w:rPr>
          <w:rFonts w:ascii="仿宋_GB2312" w:hAnsi="仿宋_GB2312" w:eastAsia="仿宋_GB2312" w:cs="宋体"/>
          <w:color w:val="000000" w:themeColor="text1"/>
          <w:kern w:val="2"/>
          <w:sz w:val="32"/>
          <w:szCs w:val="32"/>
          <w:lang w:val="en-US" w:eastAsia="zh-CN" w:bidi="ar-SA"/>
        </w:rPr>
      </w:pPr>
      <w:r>
        <w:rPr>
          <w:rFonts w:hint="eastAsia" w:ascii="仿宋_GB2312" w:hAnsi="仿宋_GB2312" w:eastAsia="仿宋_GB2312" w:cs="宋体"/>
          <w:color w:val="000000" w:themeColor="text1"/>
          <w:kern w:val="2"/>
          <w:sz w:val="32"/>
          <w:szCs w:val="32"/>
          <w:lang w:val="en-US" w:eastAsia="zh-CN" w:bidi="ar-SA"/>
        </w:rPr>
        <w:t>公安机关是烟花爆竹燃放管理工作的主管部门，负责烟花爆竹的公共安全管理。</w:t>
      </w:r>
    </w:p>
    <w:p>
      <w:pPr>
        <w:keepNext w:val="0"/>
        <w:keepLines w:val="0"/>
        <w:pageBreakBefore w:val="0"/>
        <w:widowControl w:val="0"/>
        <w:numPr>
          <w:ins w:id="1" w:author="Administrator" w:date=""/>
        </w:numPr>
        <w:shd w:val="clear" w:color="auto" w:fill="FFFFFF"/>
        <w:kinsoku/>
        <w:wordWrap/>
        <w:overflowPunct/>
        <w:topLinePunct w:val="0"/>
        <w:autoSpaceDE/>
        <w:autoSpaceDN/>
        <w:bidi w:val="0"/>
        <w:adjustRightInd/>
        <w:snapToGrid/>
        <w:spacing w:before="0" w:beforeAutospacing="0" w:after="0" w:afterAutospacing="0" w:line="560" w:lineRule="exact"/>
        <w:ind w:firstLine="640"/>
        <w:jc w:val="left"/>
        <w:textAlignment w:val="auto"/>
        <w:rPr>
          <w:rFonts w:ascii="仿宋_GB2312" w:hAnsi="仿宋_GB2312" w:eastAsia="仿宋_GB2312" w:cs="宋体"/>
          <w:color w:val="000000" w:themeColor="text1"/>
          <w:kern w:val="2"/>
          <w:sz w:val="32"/>
          <w:szCs w:val="32"/>
          <w:lang w:val="en-US" w:eastAsia="zh-CN" w:bidi="ar-SA"/>
        </w:rPr>
      </w:pPr>
      <w:r>
        <w:rPr>
          <w:rFonts w:hint="eastAsia" w:ascii="仿宋_GB2312" w:hAnsi="仿宋_GB2312" w:eastAsia="仿宋_GB2312" w:cs="宋体"/>
          <w:color w:val="000000" w:themeColor="text1"/>
          <w:kern w:val="2"/>
          <w:sz w:val="32"/>
          <w:szCs w:val="32"/>
          <w:lang w:val="en-US" w:eastAsia="zh-CN" w:bidi="ar-SA"/>
        </w:rPr>
        <w:t>应急管理部门是烟花爆竹销售管理工作的主管部门，负责烟花爆竹销售的监督管理。</w:t>
      </w:r>
    </w:p>
    <w:p>
      <w:pPr>
        <w:keepNext w:val="0"/>
        <w:keepLines w:val="0"/>
        <w:pageBreakBefore w:val="0"/>
        <w:widowControl w:val="0"/>
        <w:numPr>
          <w:ins w:id="2" w:author="Administrator" w:date=""/>
        </w:numPr>
        <w:shd w:val="clear" w:color="auto" w:fill="FFFFFF"/>
        <w:kinsoku/>
        <w:wordWrap/>
        <w:overflowPunct/>
        <w:topLinePunct w:val="0"/>
        <w:autoSpaceDE/>
        <w:autoSpaceDN/>
        <w:bidi w:val="0"/>
        <w:adjustRightInd/>
        <w:snapToGrid/>
        <w:spacing w:before="0" w:beforeAutospacing="0" w:after="0" w:afterAutospacing="0" w:line="560" w:lineRule="exact"/>
        <w:ind w:firstLine="640"/>
        <w:jc w:val="left"/>
        <w:textAlignment w:val="auto"/>
        <w:rPr>
          <w:rFonts w:ascii="仿宋_GB2312" w:hAnsi="仿宋_GB2312" w:eastAsia="仿宋_GB2312" w:cs="宋体"/>
          <w:color w:val="000000" w:themeColor="text1"/>
          <w:kern w:val="2"/>
          <w:sz w:val="32"/>
          <w:szCs w:val="32"/>
          <w:lang w:val="en-US" w:eastAsia="zh-CN" w:bidi="ar-SA"/>
        </w:rPr>
      </w:pPr>
      <w:r>
        <w:rPr>
          <w:rFonts w:hint="eastAsia" w:ascii="仿宋_GB2312" w:hAnsi="仿宋_GB2312" w:eastAsia="仿宋_GB2312" w:cs="宋体"/>
          <w:color w:val="000000" w:themeColor="text1"/>
          <w:kern w:val="2"/>
          <w:sz w:val="32"/>
          <w:szCs w:val="32"/>
          <w:lang w:val="en-US" w:eastAsia="zh-CN" w:bidi="ar-SA"/>
        </w:rPr>
        <w:t>城市管理、生态环境、行政审批、气象、民政、住房和城乡建设、市场监督管理、交通运输、教育、供销等有关部门和单位，在各自职责范围内依法做好烟花爆竹销售、燃放管理工作。</w:t>
      </w:r>
    </w:p>
    <w:p>
      <w:pPr>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jc w:val="left"/>
        <w:textAlignment w:val="auto"/>
        <w:rPr>
          <w:rFonts w:hint="eastAsia" w:ascii="仿宋_GB2312" w:hAnsi="仿宋_GB2312" w:eastAsia="仿宋_GB2312" w:cs="宋体"/>
          <w:color w:val="000000" w:themeColor="text1"/>
          <w:kern w:val="2"/>
          <w:sz w:val="32"/>
          <w:szCs w:val="32"/>
          <w:lang w:val="en-US" w:eastAsia="zh-CN" w:bidi="ar-SA"/>
        </w:rPr>
      </w:pPr>
      <w:r>
        <w:rPr>
          <w:rFonts w:hint="eastAsia" w:ascii="仿宋_GB2312" w:hAnsi="仿宋_GB2312" w:eastAsia="仿宋_GB2312" w:cs="宋体"/>
          <w:color w:val="000000" w:themeColor="text1"/>
          <w:kern w:val="2"/>
          <w:sz w:val="32"/>
          <w:szCs w:val="32"/>
          <w:lang w:val="en-US" w:eastAsia="zh-CN" w:bidi="ar-SA"/>
        </w:rPr>
        <w:t>鹰潭高新技术产业开发区管委会、龙虎山风景名胜区管委会、信江新区管委会（以下统称管委会），按照市人民政府的规定，负责辖区内烟花爆竹销售、燃放管理工作。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第四条</w:t>
      </w:r>
      <w:r>
        <w:rPr>
          <w:rFonts w:hint="eastAsia" w:ascii="仿宋_GB2312" w:hAnsi="新宋体" w:eastAsia="仿宋_GB2312" w:cs="新宋体"/>
          <w:color w:val="000000" w:themeColor="text1"/>
          <w:sz w:val="32"/>
          <w:szCs w:val="32"/>
        </w:rPr>
        <w:t xml:space="preserve">  乡（镇）人民政府、街道办事处应当按照市、区（市）人民政府及有关部门、管委会的要求，组织开展本辖区内烟花爆竹销售、燃放管理工作。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村（居）民委员会应当协助做好烟花爆竹销售、燃放管理的相关工作。</w:t>
      </w:r>
    </w:p>
    <w:p>
      <w:pPr>
        <w:keepNext w:val="0"/>
        <w:keepLines w:val="0"/>
        <w:pageBreakBefore w:val="0"/>
        <w:widowControl w:val="0"/>
        <w:numPr>
          <w:ins w:id="3" w:author="Administrator" w:date=""/>
        </w:numPr>
        <w:kinsoku/>
        <w:wordWrap/>
        <w:overflowPunct/>
        <w:topLinePunct w:val="0"/>
        <w:autoSpaceDE/>
        <w:autoSpaceDN/>
        <w:bidi w:val="0"/>
        <w:adjustRightInd/>
        <w:snapToGrid/>
        <w:spacing w:line="560" w:lineRule="exact"/>
        <w:ind w:firstLine="645"/>
        <w:jc w:val="left"/>
        <w:textAlignment w:val="auto"/>
        <w:rPr>
          <w:rFonts w:hint="eastAsia" w:ascii="仿宋_GB2312" w:hAnsi="仿宋_GB2312" w:eastAsia="仿宋_GB2312" w:cs="Times New Roman"/>
          <w:color w:val="000000" w:themeColor="text1"/>
          <w:sz w:val="32"/>
          <w:szCs w:val="32"/>
        </w:rPr>
      </w:pPr>
      <w:r>
        <w:rPr>
          <w:rFonts w:hint="eastAsia" w:ascii="黑体" w:hAnsi="黑体" w:eastAsia="黑体" w:cs="黑体"/>
          <w:bCs/>
          <w:color w:val="000000" w:themeColor="text1"/>
          <w:sz w:val="32"/>
          <w:szCs w:val="32"/>
        </w:rPr>
        <w:t>第五条</w:t>
      </w:r>
      <w:r>
        <w:rPr>
          <w:rFonts w:hint="eastAsia" w:ascii="仿宋_GB2312" w:hAnsi="新宋体" w:eastAsia="仿宋_GB2312" w:cs="新宋体"/>
          <w:color w:val="000000" w:themeColor="text1"/>
          <w:sz w:val="32"/>
          <w:szCs w:val="32"/>
        </w:rPr>
        <w:t xml:space="preserve">  </w:t>
      </w:r>
      <w:r>
        <w:rPr>
          <w:rFonts w:hint="eastAsia" w:ascii="仿宋_GB2312" w:hAnsi="仿宋_GB2312" w:eastAsia="仿宋_GB2312" w:cs="Times New Roman"/>
          <w:color w:val="000000" w:themeColor="text1"/>
          <w:sz w:val="32"/>
          <w:szCs w:val="32"/>
        </w:rPr>
        <w:t>市、区（市）人民政府应当根据本行政区域的实际情况依法确定禁止燃放烟花爆竹的区域和时间，并向社会公布。</w:t>
      </w:r>
    </w:p>
    <w:p>
      <w:pPr>
        <w:keepNext w:val="0"/>
        <w:keepLines w:val="0"/>
        <w:pageBreakBefore w:val="0"/>
        <w:widowControl w:val="0"/>
        <w:numPr>
          <w:ins w:id="4" w:author="Administrator" w:date=""/>
        </w:numPr>
        <w:kinsoku/>
        <w:wordWrap/>
        <w:overflowPunct/>
        <w:topLinePunct w:val="0"/>
        <w:autoSpaceDE/>
        <w:autoSpaceDN/>
        <w:bidi w:val="0"/>
        <w:adjustRightInd/>
        <w:snapToGrid/>
        <w:spacing w:line="560" w:lineRule="exact"/>
        <w:ind w:firstLine="645"/>
        <w:jc w:val="left"/>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第六条</w:t>
      </w:r>
      <w:r>
        <w:rPr>
          <w:rFonts w:hint="eastAsia" w:ascii="仿宋_GB2312" w:hAnsi="新宋体" w:eastAsia="仿宋_GB2312" w:cs="新宋体"/>
          <w:color w:val="000000" w:themeColor="text1"/>
          <w:sz w:val="32"/>
          <w:szCs w:val="32"/>
        </w:rPr>
        <w:t xml:space="preserve">  </w:t>
      </w:r>
      <w:r>
        <w:rPr>
          <w:rFonts w:hint="eastAsia" w:ascii="仿宋_GB2312" w:hAnsi="仿宋_GB2312" w:eastAsia="仿宋_GB2312" w:cs="Times New Roman"/>
          <w:color w:val="000000" w:themeColor="text1"/>
          <w:sz w:val="32"/>
          <w:szCs w:val="32"/>
        </w:rPr>
        <w:t>禁止在下列地点</w:t>
      </w:r>
      <w:r>
        <w:rPr>
          <w:rFonts w:hint="eastAsia" w:ascii="仿宋_GB2312" w:hAnsi="新宋体" w:eastAsia="仿宋_GB2312" w:cs="新宋体"/>
          <w:color w:val="000000" w:themeColor="text1"/>
          <w:sz w:val="32"/>
          <w:szCs w:val="32"/>
        </w:rPr>
        <w:t>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（一）文物保护、保存单位和自然保护区，饮用水水源一级保护区；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（二）车站、码头等交通枢纽以及铁路线路安全保护区；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（三）加油站，液化石油站，天然气站，粮、棉、油、麻等易</w:t>
      </w:r>
      <w:r>
        <w:rPr>
          <w:rFonts w:hint="eastAsia" w:ascii="仿宋_GB2312" w:hAnsi="新宋体" w:eastAsia="仿宋_GB2312" w:cs="新宋体"/>
          <w:color w:val="000000" w:themeColor="text1"/>
          <w:spacing w:val="-6"/>
          <w:sz w:val="32"/>
          <w:szCs w:val="32"/>
        </w:rPr>
        <w:t>燃易爆物品生产、销售、储存、使用场所，输变电设施安全保护区；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pacing w:val="-11"/>
          <w:sz w:val="32"/>
          <w:szCs w:val="32"/>
        </w:rPr>
      </w:pPr>
      <w:r>
        <w:rPr>
          <w:rFonts w:hint="eastAsia" w:ascii="仿宋_GB2312" w:hAnsi="新宋体" w:eastAsia="仿宋_GB2312" w:cs="新宋体"/>
          <w:color w:val="000000" w:themeColor="text1"/>
          <w:sz w:val="32"/>
          <w:szCs w:val="32"/>
        </w:rPr>
        <w:t>（四）</w:t>
      </w:r>
      <w:r>
        <w:rPr>
          <w:rFonts w:hint="eastAsia" w:ascii="仿宋_GB2312" w:hAnsi="新宋体" w:eastAsia="仿宋_GB2312" w:cs="新宋体"/>
          <w:color w:val="000000" w:themeColor="text1"/>
          <w:spacing w:val="-11"/>
          <w:sz w:val="32"/>
          <w:szCs w:val="32"/>
        </w:rPr>
        <w:t>国家机关、医疗机构、幼儿园、学校、养老机构、福利院；</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（五）工厂、矿山内严禁烟火的场所，山林等重点防火区；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（六）公园、商场、集贸市场、公共娱乐等人员密集的场所；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（七）桥梁、地下空间；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（八）市、区（市）人民政府规定的其他地点。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第七条</w:t>
      </w:r>
      <w:r>
        <w:rPr>
          <w:rFonts w:hint="eastAsia" w:ascii="仿宋_GB2312" w:hAnsi="新宋体" w:eastAsia="仿宋_GB2312" w:cs="新宋体"/>
          <w:color w:val="000000" w:themeColor="text1"/>
          <w:sz w:val="32"/>
          <w:szCs w:val="32"/>
        </w:rPr>
        <w:t xml:space="preserve">  在禁止燃放烟花爆竹的区域、地点禁止销售烟花爆竹，对已经取得烟花爆竹经营许可的经营者造成财产损失的，应当依法给予补偿，具体补偿办法由市人民政府制定。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 xml:space="preserve">第八条  </w:t>
      </w:r>
      <w:r>
        <w:rPr>
          <w:rFonts w:hint="eastAsia" w:ascii="仿宋_GB2312" w:hAnsi="新宋体" w:eastAsia="仿宋_GB2312" w:cs="新宋体"/>
          <w:color w:val="000000" w:themeColor="text1"/>
          <w:sz w:val="32"/>
          <w:szCs w:val="32"/>
        </w:rPr>
        <w:t>在禁止燃放烟花爆竹的区域外，对烟花爆竹销售应当严格控制、合理布点、强化监管。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销售的烟花爆竹，应当符合国家有关标准。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 xml:space="preserve">第九条  </w:t>
      </w:r>
      <w:r>
        <w:rPr>
          <w:rFonts w:hint="eastAsia" w:ascii="仿宋_GB2312" w:hAnsi="新宋体" w:eastAsia="仿宋_GB2312" w:cs="新宋体"/>
          <w:color w:val="000000" w:themeColor="text1"/>
          <w:sz w:val="32"/>
          <w:szCs w:val="32"/>
        </w:rPr>
        <w:t>在禁止燃放烟花爆竹的区域、地点外燃放烟花爆竹，应当遵守下列规定：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（一）不得将点燃的烟花爆竹向人员、车辆、建（构）筑物、窨井等投射、抛掷；</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（二）不得妨碍行人、车辆安全通行；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（三）不得在建筑物公共走廊、楼梯、屋顶等燃放烟花爆竹；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（四）不得以其他危害公共安全和人身、财产安全的方式燃放烟花爆竹。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仿宋_GB2312" w:hAnsi="新宋体" w:eastAsia="仿宋_GB2312" w:cs="新宋体"/>
          <w:color w:val="000000" w:themeColor="text1"/>
          <w:sz w:val="32"/>
          <w:szCs w:val="32"/>
        </w:rPr>
        <w:t>无民事行为能力人或者限制民事行为能力人燃放烟花爆竹的，应当由监护人或者其他成年人陪同。</w:t>
      </w:r>
    </w:p>
    <w:p>
      <w:pPr>
        <w:keepNext w:val="0"/>
        <w:keepLines w:val="0"/>
        <w:pageBreakBefore w:val="0"/>
        <w:widowControl w:val="0"/>
        <w:numPr>
          <w:ins w:id="5" w:author="Administrator" w:date=""/>
        </w:numPr>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第十条</w:t>
      </w:r>
      <w:r>
        <w:rPr>
          <w:rFonts w:hint="eastAsia" w:ascii="仿宋_GB2312" w:hAnsi="新宋体" w:eastAsia="仿宋_GB2312" w:cs="新宋体"/>
          <w:color w:val="000000" w:themeColor="text1"/>
          <w:sz w:val="32"/>
          <w:szCs w:val="32"/>
        </w:rPr>
        <w:t xml:space="preserve">  遇有重大庆典和节日等，确需举办焰火晚会以及其他大型焰火燃放活动，主办单位应当按照分级管理的规定，依法向公安机关提出申请，取得《焰火燃放许可证》。</w:t>
      </w:r>
    </w:p>
    <w:p>
      <w:pPr>
        <w:keepNext w:val="0"/>
        <w:keepLines w:val="0"/>
        <w:pageBreakBefore w:val="0"/>
        <w:widowControl w:val="0"/>
        <w:numPr>
          <w:ins w:id="6" w:author="Administrator" w:date=""/>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新宋体"/>
          <w:color w:val="000000" w:themeColor="text1"/>
          <w:sz w:val="32"/>
          <w:szCs w:val="32"/>
        </w:rPr>
      </w:pPr>
      <w:r>
        <w:rPr>
          <w:rFonts w:hint="eastAsia" w:ascii="仿宋_GB2312" w:hAnsi="仿宋_GB2312" w:eastAsia="仿宋_GB2312" w:cs="新宋体"/>
          <w:color w:val="000000" w:themeColor="text1"/>
          <w:sz w:val="32"/>
          <w:szCs w:val="32"/>
        </w:rPr>
        <w:t>公安机关作出准予</w:t>
      </w:r>
      <w:r>
        <w:rPr>
          <w:rFonts w:hint="eastAsia" w:ascii="仿宋_GB2312" w:hAnsi="仿宋_GB2312" w:eastAsia="仿宋_GB2312" w:cs="宋体"/>
          <w:color w:val="000000" w:themeColor="text1"/>
          <w:sz w:val="32"/>
          <w:szCs w:val="32"/>
        </w:rPr>
        <w:t>许可决定的，</w:t>
      </w:r>
      <w:r>
        <w:rPr>
          <w:rFonts w:hint="eastAsia" w:ascii="仿宋_GB2312" w:hAnsi="仿宋_GB2312" w:eastAsia="仿宋_GB2312" w:cs="新宋体"/>
          <w:color w:val="000000" w:themeColor="text1"/>
          <w:sz w:val="32"/>
          <w:szCs w:val="32"/>
        </w:rPr>
        <w:t>应当在作出许可决定后三日内，将许可燃放的时间、地点、种类、规格、数量向社会公告。</w:t>
      </w:r>
    </w:p>
    <w:p>
      <w:pPr>
        <w:keepNext w:val="0"/>
        <w:keepLines w:val="0"/>
        <w:pageBreakBefore w:val="0"/>
        <w:widowControl w:val="0"/>
        <w:numPr>
          <w:ins w:id="7" w:author="Administrator" w:date=""/>
        </w:numPr>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新宋体"/>
          <w:color w:val="000000" w:themeColor="text1"/>
          <w:sz w:val="32"/>
          <w:szCs w:val="32"/>
        </w:rPr>
      </w:pPr>
      <w:r>
        <w:rPr>
          <w:rFonts w:hint="eastAsia" w:ascii="仿宋_GB2312" w:hAnsi="新宋体" w:eastAsia="仿宋_GB2312" w:cs="新宋体"/>
          <w:color w:val="000000" w:themeColor="text1"/>
          <w:sz w:val="32"/>
          <w:szCs w:val="32"/>
        </w:rPr>
        <w:t>焰火晚会以及其他大型焰火燃放活动燃放作业单位和作业人员，应当按照焰火燃放安全规程和经许可的燃放作业方案进行燃放作业。</w:t>
      </w:r>
    </w:p>
    <w:p>
      <w:pPr>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jc w:val="left"/>
        <w:textAlignment w:val="auto"/>
        <w:rPr>
          <w:rFonts w:hint="eastAsia" w:ascii="仿宋_GB2312" w:hAnsi="仿宋_GB2312" w:eastAsia="仿宋_GB2312" w:cs="宋体"/>
          <w:color w:val="000000" w:themeColor="text1"/>
          <w:kern w:val="2"/>
          <w:sz w:val="32"/>
          <w:szCs w:val="32"/>
          <w:lang w:val="en-US" w:eastAsia="zh-CN" w:bidi="ar-SA"/>
        </w:rPr>
      </w:pPr>
      <w:r>
        <w:rPr>
          <w:rFonts w:hint="eastAsia" w:ascii="黑体" w:hAnsi="黑体" w:eastAsia="黑体" w:cs="黑体"/>
          <w:bCs/>
          <w:color w:val="000000" w:themeColor="text1"/>
          <w:kern w:val="2"/>
          <w:sz w:val="32"/>
          <w:szCs w:val="32"/>
          <w:lang w:val="en-US" w:eastAsia="zh-CN" w:bidi="ar-SA"/>
        </w:rPr>
        <w:t>第十一条</w:t>
      </w:r>
      <w:r>
        <w:rPr>
          <w:rFonts w:ascii="仿宋_GB2312" w:hAnsi="仿宋_GB2312" w:eastAsia="仿宋_GB2312" w:cs="宋体"/>
          <w:color w:val="000000" w:themeColor="text1"/>
          <w:kern w:val="2"/>
          <w:sz w:val="32"/>
          <w:szCs w:val="32"/>
          <w:lang w:val="en-US" w:eastAsia="zh-CN" w:bidi="ar-SA"/>
        </w:rPr>
        <w:t> </w:t>
      </w:r>
      <w:r>
        <w:rPr>
          <w:rFonts w:hint="eastAsia" w:ascii="仿宋_GB2312" w:hAnsi="仿宋_GB2312" w:eastAsia="仿宋_GB2312" w:cs="宋体"/>
          <w:color w:val="000000" w:themeColor="text1"/>
          <w:kern w:val="2"/>
          <w:sz w:val="32"/>
          <w:szCs w:val="32"/>
          <w:lang w:val="en-US" w:eastAsia="zh-CN" w:bidi="ar-SA"/>
        </w:rPr>
        <w:t xml:space="preserve"> 重污染天气预警期间，市、区（市）人民政府应当依据预警等级，及时启动应急预案，根据应急需要，可以在本行政区域内采取禁止燃放烟花爆竹的应急措施。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第十二条</w:t>
      </w:r>
      <w:r>
        <w:rPr>
          <w:rFonts w:hint="eastAsia" w:ascii="仿宋_GB2312" w:hAnsi="新宋体" w:eastAsia="仿宋_GB2312" w:cs="新宋体"/>
          <w:color w:val="000000" w:themeColor="text1"/>
          <w:sz w:val="32"/>
          <w:szCs w:val="32"/>
        </w:rPr>
        <w:t xml:space="preserve">  各级人民政府及其有关部门和广播、电视、报刊、网络等媒体</w:t>
      </w:r>
      <w:r>
        <w:rPr>
          <w:rFonts w:hint="eastAsia" w:ascii="仿宋_GB2312" w:hAnsi="仿宋_GB2312" w:eastAsia="仿宋_GB2312" w:cs="新宋体"/>
          <w:color w:val="000000" w:themeColor="text1"/>
          <w:sz w:val="32"/>
          <w:szCs w:val="32"/>
        </w:rPr>
        <w:t>，</w:t>
      </w:r>
      <w:r>
        <w:rPr>
          <w:rFonts w:hint="eastAsia" w:ascii="仿宋_GB2312" w:hAnsi="新宋体" w:eastAsia="仿宋_GB2312" w:cs="新宋体"/>
          <w:color w:val="000000" w:themeColor="text1"/>
          <w:sz w:val="32"/>
          <w:szCs w:val="32"/>
        </w:rPr>
        <w:t>应当开展遵守烟花爆竹销售、燃放管理规定的宣传、教育活动。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新宋体"/>
          <w:color w:val="000000" w:themeColor="text1"/>
          <w:sz w:val="32"/>
          <w:szCs w:val="32"/>
        </w:rPr>
      </w:pPr>
      <w:r>
        <w:rPr>
          <w:rFonts w:hint="eastAsia" w:ascii="黑体" w:hAnsi="黑体" w:eastAsia="黑体" w:cs="黑体"/>
          <w:bCs/>
          <w:color w:val="000000" w:themeColor="text1"/>
          <w:sz w:val="32"/>
          <w:szCs w:val="32"/>
        </w:rPr>
        <w:t>第十三条</w:t>
      </w:r>
      <w:r>
        <w:rPr>
          <w:rFonts w:hint="eastAsia" w:ascii="仿宋_GB2312" w:hAnsi="仿宋_GB2312" w:eastAsia="仿宋_GB2312" w:cs="新宋体"/>
          <w:color w:val="000000" w:themeColor="text1"/>
          <w:sz w:val="32"/>
          <w:szCs w:val="32"/>
        </w:rPr>
        <w:t xml:space="preserve">  禁止燃放烟花爆竹区域、</w:t>
      </w:r>
      <w:r>
        <w:rPr>
          <w:rFonts w:hint="eastAsia" w:ascii="仿宋_GB2312" w:hAnsi="仿宋_GB2312" w:eastAsia="仿宋_GB2312" w:cs="Times New Roman"/>
          <w:color w:val="000000" w:themeColor="text1"/>
          <w:sz w:val="32"/>
          <w:szCs w:val="32"/>
        </w:rPr>
        <w:t>地点</w:t>
      </w:r>
      <w:r>
        <w:rPr>
          <w:rFonts w:hint="eastAsia" w:ascii="仿宋_GB2312" w:hAnsi="仿宋_GB2312" w:eastAsia="仿宋_GB2312" w:cs="新宋体"/>
          <w:color w:val="000000" w:themeColor="text1"/>
          <w:sz w:val="32"/>
          <w:szCs w:val="32"/>
        </w:rPr>
        <w:t>内的宾馆、酒店、</w:t>
      </w:r>
      <w:r>
        <w:rPr>
          <w:rFonts w:hint="eastAsia" w:ascii="仿宋_GB2312" w:hAnsi="仿宋_GB2312" w:eastAsia="仿宋_GB2312" w:cs="Times New Roman"/>
          <w:color w:val="000000" w:themeColor="text1"/>
          <w:sz w:val="32"/>
          <w:szCs w:val="32"/>
        </w:rPr>
        <w:t>物业服务、</w:t>
      </w:r>
      <w:r>
        <w:rPr>
          <w:rFonts w:hint="eastAsia" w:ascii="仿宋_GB2312" w:hAnsi="仿宋_GB2312" w:eastAsia="仿宋_GB2312" w:cs="新宋体"/>
          <w:color w:val="000000" w:themeColor="text1"/>
          <w:sz w:val="32"/>
          <w:szCs w:val="32"/>
        </w:rPr>
        <w:t>婚庆服务、殡葬服务等行业的</w:t>
      </w:r>
      <w:r>
        <w:rPr>
          <w:rFonts w:hint="eastAsia" w:ascii="仿宋_GB2312" w:hAnsi="仿宋_GB2312" w:eastAsia="仿宋_GB2312" w:cs="Times New Roman"/>
          <w:color w:val="000000" w:themeColor="text1"/>
          <w:sz w:val="32"/>
          <w:szCs w:val="32"/>
        </w:rPr>
        <w:t>经营管理者，</w:t>
      </w:r>
      <w:r>
        <w:rPr>
          <w:rFonts w:hint="eastAsia" w:ascii="仿宋_GB2312" w:hAnsi="仿宋_GB2312" w:eastAsia="仿宋_GB2312" w:cs="新宋体"/>
          <w:color w:val="000000" w:themeColor="text1"/>
          <w:sz w:val="32"/>
          <w:szCs w:val="32"/>
        </w:rPr>
        <w:t>应当告知服务对象禁止燃放烟花爆竹，不得为燃放烟花爆竹提供服务。对燃放烟花爆竹的行为予以劝阻，劝阻无效的，应当立即向公安机关报告。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新宋体"/>
          <w:color w:val="000000" w:themeColor="text1"/>
          <w:sz w:val="32"/>
          <w:szCs w:val="32"/>
        </w:rPr>
      </w:pPr>
      <w:r>
        <w:rPr>
          <w:rFonts w:hint="eastAsia" w:ascii="黑体" w:hAnsi="黑体" w:eastAsia="黑体" w:cs="黑体"/>
          <w:bCs/>
          <w:color w:val="000000" w:themeColor="text1"/>
          <w:sz w:val="32"/>
          <w:szCs w:val="32"/>
        </w:rPr>
        <w:t>第十四条</w:t>
      </w:r>
      <w:r>
        <w:rPr>
          <w:rFonts w:hint="eastAsia" w:ascii="仿宋_GB2312" w:hAnsi="新宋体" w:eastAsia="仿宋_GB2312" w:cs="新宋体"/>
          <w:color w:val="000000" w:themeColor="text1"/>
          <w:sz w:val="32"/>
          <w:szCs w:val="32"/>
        </w:rPr>
        <w:t xml:space="preserve">  </w:t>
      </w:r>
      <w:r>
        <w:rPr>
          <w:rFonts w:hint="eastAsia" w:ascii="仿宋_GB2312" w:hAnsi="仿宋_GB2312" w:eastAsia="仿宋_GB2312" w:cs="新宋体"/>
          <w:color w:val="000000" w:themeColor="text1"/>
          <w:sz w:val="32"/>
          <w:szCs w:val="32"/>
        </w:rPr>
        <w:t>任何单位和个人有权对违反烟</w:t>
      </w:r>
      <w:r>
        <w:rPr>
          <w:rFonts w:hint="eastAsia" w:ascii="仿宋_GB2312" w:hAnsi="仿宋_GB2312" w:eastAsia="仿宋_GB2312" w:cs="Times New Roman"/>
          <w:color w:val="000000" w:themeColor="text1"/>
          <w:sz w:val="32"/>
          <w:szCs w:val="32"/>
        </w:rPr>
        <w:t>花爆竹销售、燃放管理法律、法规</w:t>
      </w:r>
      <w:r>
        <w:rPr>
          <w:rFonts w:hint="eastAsia" w:ascii="仿宋_GB2312" w:hAnsi="仿宋_GB2312" w:eastAsia="仿宋_GB2312" w:cs="新宋体"/>
          <w:color w:val="000000" w:themeColor="text1"/>
          <w:sz w:val="32"/>
          <w:szCs w:val="32"/>
        </w:rPr>
        <w:t>的行为进行劝阻和举报。</w:t>
      </w:r>
    </w:p>
    <w:p>
      <w:pPr>
        <w:keepNext w:val="0"/>
        <w:keepLines w:val="0"/>
        <w:pageBreakBefore w:val="0"/>
        <w:widowControl w:val="0"/>
        <w:kinsoku/>
        <w:wordWrap/>
        <w:overflowPunct/>
        <w:topLinePunct w:val="0"/>
        <w:autoSpaceDE/>
        <w:autoSpaceDN/>
        <w:bidi w:val="0"/>
        <w:adjustRightInd/>
        <w:snapToGrid/>
        <w:spacing w:line="560" w:lineRule="exact"/>
        <w:ind w:firstLine="596" w:firstLineChars="200"/>
        <w:textAlignment w:val="auto"/>
        <w:rPr>
          <w:rFonts w:hint="eastAsia" w:ascii="仿宋_GB2312" w:hAnsi="新宋体" w:eastAsia="仿宋_GB2312" w:cs="新宋体"/>
          <w:color w:val="000000" w:themeColor="text1"/>
          <w:spacing w:val="-11"/>
          <w:sz w:val="32"/>
          <w:szCs w:val="32"/>
        </w:rPr>
      </w:pPr>
      <w:r>
        <w:rPr>
          <w:rFonts w:hint="eastAsia" w:ascii="仿宋_GB2312" w:hAnsi="新宋体" w:eastAsia="仿宋_GB2312" w:cs="新宋体"/>
          <w:color w:val="000000" w:themeColor="text1"/>
          <w:spacing w:val="-11"/>
          <w:sz w:val="32"/>
          <w:szCs w:val="32"/>
        </w:rPr>
        <w:t>相关单位接到举报后应当及时处理，并向举报人反馈。接受举报的机关应当对举报人的相关信息予以保密，保护举报人的合法权益。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第十五条</w:t>
      </w:r>
      <w:r>
        <w:rPr>
          <w:rFonts w:hint="eastAsia" w:ascii="仿宋_GB2312" w:hAnsi="新宋体" w:eastAsia="仿宋_GB2312" w:cs="新宋体"/>
          <w:color w:val="000000" w:themeColor="text1"/>
          <w:sz w:val="32"/>
          <w:szCs w:val="32"/>
        </w:rPr>
        <w:t xml:space="preserve">  违反本条例规定，在禁止燃放的区域</w:t>
      </w:r>
      <w:r>
        <w:rPr>
          <w:rFonts w:hint="eastAsia" w:ascii="仿宋_GB2312" w:hAnsi="仿宋_GB2312" w:eastAsia="仿宋_GB2312" w:cs="新宋体"/>
          <w:color w:val="000000" w:themeColor="text1"/>
          <w:sz w:val="32"/>
          <w:szCs w:val="32"/>
        </w:rPr>
        <w:t>、地点或者时间内燃放烟花爆竹，或者以危害</w:t>
      </w:r>
      <w:r>
        <w:rPr>
          <w:rFonts w:hint="eastAsia" w:ascii="仿宋_GB2312" w:hAnsi="新宋体" w:eastAsia="仿宋_GB2312" w:cs="新宋体"/>
          <w:color w:val="000000" w:themeColor="text1"/>
          <w:sz w:val="32"/>
          <w:szCs w:val="32"/>
        </w:rPr>
        <w:t>公共安全和人身、财产安全的方式</w:t>
      </w:r>
      <w:r>
        <w:rPr>
          <w:rFonts w:hint="eastAsia" w:ascii="仿宋_GB2312" w:hAnsi="仿宋_GB2312" w:eastAsia="仿宋_GB2312" w:cs="新宋体"/>
          <w:color w:val="000000" w:themeColor="text1"/>
          <w:sz w:val="32"/>
          <w:szCs w:val="32"/>
        </w:rPr>
        <w:t>燃放烟花爆竹的</w:t>
      </w:r>
      <w:r>
        <w:rPr>
          <w:rFonts w:hint="eastAsia" w:ascii="仿宋_GB2312" w:hAnsi="新宋体" w:eastAsia="仿宋_GB2312" w:cs="新宋体"/>
          <w:color w:val="000000" w:themeColor="text1"/>
          <w:sz w:val="32"/>
          <w:szCs w:val="32"/>
        </w:rPr>
        <w:t>，由公安机关责令停止燃放，处一百元以上五百元以下的罚款；构成违反治安管理行为的，依法给予治安管理处罚。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第十六条</w:t>
      </w:r>
      <w:r>
        <w:rPr>
          <w:rFonts w:hint="eastAsia" w:ascii="仿宋_GB2312" w:hAnsi="新宋体" w:eastAsia="仿宋_GB2312" w:cs="新宋体"/>
          <w:color w:val="000000" w:themeColor="text1"/>
          <w:sz w:val="32"/>
          <w:szCs w:val="32"/>
        </w:rPr>
        <w:t xml:space="preserve">  违反本条例规定，在禁止销售烟花爆竹的区域或者地点内销售烟花爆竹的，由应急管理部门责令停止销售，处二万元以上十万元以下的罚款，并没收非法销售的物品及违法所得。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第十七条</w:t>
      </w:r>
      <w:r>
        <w:rPr>
          <w:rFonts w:hint="eastAsia" w:ascii="仿宋_GB2312" w:hAnsi="新宋体" w:eastAsia="仿宋_GB2312" w:cs="新宋体"/>
          <w:color w:val="000000" w:themeColor="text1"/>
          <w:sz w:val="32"/>
          <w:szCs w:val="32"/>
          <w:shd w:val="clear" w:color="000000" w:fill="auto"/>
        </w:rPr>
        <w:t xml:space="preserve">  </w:t>
      </w:r>
      <w:r>
        <w:rPr>
          <w:rFonts w:hint="eastAsia" w:ascii="仿宋_GB2312" w:hAnsi="新宋体" w:eastAsia="仿宋_GB2312" w:cs="新宋体"/>
          <w:color w:val="000000" w:themeColor="text1"/>
          <w:sz w:val="32"/>
          <w:szCs w:val="32"/>
        </w:rPr>
        <w:t>违反本条例规定，宾馆、酒店、物业服务、婚庆服务、殡葬服务等行业的经营管理者未履行告知、劝阻义务，发生违法燃放烟花爆竹行为，或者发生违法燃放烟花爆竹行为未履行报告义务的，由公安机关处一百元以上五百元以下的罚款；提供燃放烟花爆竹有关服务的，由公安机关责令改正，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第十八条</w:t>
      </w:r>
      <w:r>
        <w:rPr>
          <w:rFonts w:hint="eastAsia" w:ascii="仿宋_GB2312" w:hAnsi="新宋体" w:eastAsia="仿宋_GB2312" w:cs="新宋体"/>
          <w:color w:val="000000" w:themeColor="text1"/>
          <w:sz w:val="32"/>
          <w:szCs w:val="32"/>
        </w:rPr>
        <w:t xml:space="preserve">  违反本条例规定，未经许可举办焰火晚会以及其他大型焰火燃放活动，或者焰火晚会以及其他大型焰火燃放活动燃放作业单位和作业人员违反焰火燃放安全规程、燃放作业方案进行焰火燃放的，由公安机关责令停止燃放，对责任单位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第十九条</w:t>
      </w:r>
      <w:r>
        <w:rPr>
          <w:rFonts w:hint="eastAsia" w:ascii="仿宋_GB2312" w:hAnsi="新宋体" w:eastAsia="仿宋_GB2312" w:cs="新宋体"/>
          <w:color w:val="000000" w:themeColor="text1"/>
          <w:sz w:val="32"/>
          <w:szCs w:val="32"/>
        </w:rPr>
        <w:t xml:space="preserve">  公安、应急管理和其他有关部门的工作人员在销售、燃放烟花爆竹管理工作中玩忽职守、滥用职权、徇私舞弊的，依法给予处分；构成犯罪的，依法追究刑事责任。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新宋体" w:eastAsia="仿宋_GB2312" w:cs="新宋体"/>
          <w:color w:val="000000" w:themeColor="text1"/>
          <w:sz w:val="32"/>
          <w:szCs w:val="32"/>
        </w:rPr>
      </w:pPr>
      <w:r>
        <w:rPr>
          <w:rFonts w:hint="eastAsia" w:ascii="黑体" w:hAnsi="黑体" w:eastAsia="黑体" w:cs="黑体"/>
          <w:bCs/>
          <w:color w:val="000000" w:themeColor="text1"/>
          <w:sz w:val="32"/>
          <w:szCs w:val="32"/>
        </w:rPr>
        <w:t>第二十条</w:t>
      </w:r>
      <w:r>
        <w:rPr>
          <w:rFonts w:hint="eastAsia" w:ascii="仿宋_GB2312" w:hAnsi="新宋体" w:eastAsia="仿宋_GB2312" w:cs="新宋体"/>
          <w:color w:val="000000" w:themeColor="text1"/>
          <w:sz w:val="32"/>
          <w:szCs w:val="32"/>
        </w:rPr>
        <w:t xml:space="preserve">  违反本条例规定的其他行为，法律、法规已有处罚规定的，从其规定。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themeColor="text1"/>
          <w:sz w:val="32"/>
          <w:szCs w:val="32"/>
        </w:rPr>
      </w:pPr>
      <w:bookmarkStart w:id="0" w:name="_GoBack"/>
      <w:bookmarkEnd w:id="0"/>
      <w:r>
        <w:rPr>
          <w:rFonts w:hint="eastAsia" w:ascii="黑体" w:hAnsi="黑体" w:eastAsia="黑体" w:cs="黑体"/>
          <w:bCs/>
          <w:color w:val="000000" w:themeColor="text1"/>
          <w:sz w:val="32"/>
          <w:szCs w:val="32"/>
        </w:rPr>
        <w:t>第二十一条</w:t>
      </w:r>
      <w:r>
        <w:rPr>
          <w:rFonts w:hint="eastAsia" w:ascii="仿宋_GB2312" w:hAnsi="新宋体" w:eastAsia="仿宋_GB2312" w:cs="新宋体"/>
          <w:color w:val="000000" w:themeColor="text1"/>
          <w:sz w:val="32"/>
          <w:szCs w:val="32"/>
        </w:rPr>
        <w:t xml:space="preserve">  本条例自2021年6月1日起施行。</w:t>
      </w:r>
    </w:p>
    <w:sectPr>
      <w:footerReference r:id="rId3" w:type="default"/>
      <w:footerReference r:id="rId4" w:type="even"/>
      <w:pgSz w:w="11905" w:h="16838"/>
      <w:pgMar w:top="2098" w:right="1531" w:bottom="1984" w:left="1531" w:header="851" w:footer="1361" w:gutter="0"/>
      <w:pgNumType w:fmt="numberInDash"/>
      <w:cols w:space="0" w:num="1"/>
      <w:rtlGutter w:val="0"/>
      <w:docGrid w:type="lines" w:linePitch="3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Fonts w:ascii="仿宋" w:hAnsi="仿宋" w:eastAsia="仿宋"/>
        <w:sz w:val="28"/>
        <w:szCs w:val="28"/>
      </w:rPr>
    </w:pPr>
    <w:r>
      <w:rPr>
        <w:rStyle w:val="12"/>
        <w:rFonts w:hint="eastAsia" w:ascii="仿宋_GB2312" w:hAnsi="仿宋_GB2312" w:eastAsia="仿宋_GB2312" w:cs="仿宋_GB2312"/>
        <w:sz w:val="28"/>
        <w:szCs w:val="28"/>
      </w:rPr>
      <w:fldChar w:fldCharType="begin"/>
    </w:r>
    <w:r>
      <w:rPr>
        <w:rStyle w:val="12"/>
        <w:rFonts w:hint="eastAsia" w:ascii="仿宋_GB2312" w:hAnsi="仿宋_GB2312" w:eastAsia="仿宋_GB2312" w:cs="仿宋_GB2312"/>
        <w:sz w:val="28"/>
        <w:szCs w:val="28"/>
      </w:rPr>
      <w:instrText xml:space="preserve">PAGE  </w:instrText>
    </w:r>
    <w:r>
      <w:rPr>
        <w:rStyle w:val="12"/>
        <w:rFonts w:hint="eastAsia" w:ascii="仿宋_GB2312" w:hAnsi="仿宋_GB2312" w:eastAsia="仿宋_GB2312" w:cs="仿宋_GB2312"/>
        <w:sz w:val="28"/>
        <w:szCs w:val="28"/>
      </w:rPr>
      <w:fldChar w:fldCharType="separate"/>
    </w:r>
    <w:r>
      <w:rPr>
        <w:rStyle w:val="12"/>
        <w:rFonts w:hint="eastAsia" w:ascii="仿宋_GB2312" w:hAnsi="仿宋_GB2312" w:eastAsia="仿宋_GB2312" w:cs="仿宋_GB2312"/>
        <w:sz w:val="28"/>
        <w:szCs w:val="28"/>
      </w:rPr>
      <w:t>- 66 -</w:t>
    </w:r>
    <w:r>
      <w:rPr>
        <w:rStyle w:val="12"/>
        <w:rFonts w:hint="eastAsia" w:ascii="仿宋_GB2312" w:hAnsi="仿宋_GB2312" w:eastAsia="仿宋_GB2312" w:cs="仿宋_GB2312"/>
        <w:sz w:val="28"/>
        <w:szCs w:val="28"/>
      </w:rPr>
      <w:fldChar w:fldCharType="end"/>
    </w:r>
  </w:p>
  <w:p>
    <w:pPr>
      <w:pStyle w:val="6"/>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2"/>
      </w:rPr>
    </w:pPr>
    <w:r>
      <w:rPr>
        <w:rStyle w:val="12"/>
      </w:rPr>
      <w:fldChar w:fldCharType="begin"/>
    </w:r>
    <w:r>
      <w:rPr>
        <w:rStyle w:val="12"/>
      </w:rPr>
      <w:instrText xml:space="preserve">PAGE  </w:instrText>
    </w:r>
    <w:r>
      <w:rPr>
        <w:rStyle w:val="12"/>
      </w:rPr>
      <w:fldChar w:fldCharType="end"/>
    </w:r>
  </w:p>
  <w:p>
    <w:pPr>
      <w:pStyle w:val="6"/>
      <w:ind w:right="360" w:firstLine="360"/>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68"/>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2"/>
  </w:compat>
  <w:rsids>
    <w:rsidRoot w:val="00FE66FD"/>
    <w:rsid w:val="000078BC"/>
    <w:rsid w:val="000A1DA1"/>
    <w:rsid w:val="000B3DA8"/>
    <w:rsid w:val="000E682A"/>
    <w:rsid w:val="000E7299"/>
    <w:rsid w:val="001E72B3"/>
    <w:rsid w:val="002335E9"/>
    <w:rsid w:val="0034217F"/>
    <w:rsid w:val="00344B39"/>
    <w:rsid w:val="003C466A"/>
    <w:rsid w:val="003F6E5D"/>
    <w:rsid w:val="00446E3C"/>
    <w:rsid w:val="0053283E"/>
    <w:rsid w:val="005B317C"/>
    <w:rsid w:val="005B3D41"/>
    <w:rsid w:val="00633788"/>
    <w:rsid w:val="00687BAE"/>
    <w:rsid w:val="006E7B19"/>
    <w:rsid w:val="00732EF3"/>
    <w:rsid w:val="007D1CC9"/>
    <w:rsid w:val="0081235F"/>
    <w:rsid w:val="009110D0"/>
    <w:rsid w:val="009648D8"/>
    <w:rsid w:val="009A49E9"/>
    <w:rsid w:val="009C09A4"/>
    <w:rsid w:val="00A3561F"/>
    <w:rsid w:val="00A65876"/>
    <w:rsid w:val="00A67651"/>
    <w:rsid w:val="00A95BC4"/>
    <w:rsid w:val="00AF19F8"/>
    <w:rsid w:val="00B03A38"/>
    <w:rsid w:val="00B51E41"/>
    <w:rsid w:val="00BA77E8"/>
    <w:rsid w:val="00BE1F6A"/>
    <w:rsid w:val="00C86098"/>
    <w:rsid w:val="00CF684D"/>
    <w:rsid w:val="00D52827"/>
    <w:rsid w:val="00D56168"/>
    <w:rsid w:val="00DF3924"/>
    <w:rsid w:val="00E52319"/>
    <w:rsid w:val="00E96DDB"/>
    <w:rsid w:val="00F11658"/>
    <w:rsid w:val="00F8583B"/>
    <w:rsid w:val="00FE66FD"/>
    <w:rsid w:val="019E4B39"/>
    <w:rsid w:val="024F511C"/>
    <w:rsid w:val="02636008"/>
    <w:rsid w:val="028235D5"/>
    <w:rsid w:val="051258B1"/>
    <w:rsid w:val="05B045E7"/>
    <w:rsid w:val="07C801C1"/>
    <w:rsid w:val="09EC36B4"/>
    <w:rsid w:val="0A35565E"/>
    <w:rsid w:val="0BEB7187"/>
    <w:rsid w:val="0DBC5224"/>
    <w:rsid w:val="0E9B0482"/>
    <w:rsid w:val="0F510812"/>
    <w:rsid w:val="152E1FB3"/>
    <w:rsid w:val="15ED61A3"/>
    <w:rsid w:val="16FC350B"/>
    <w:rsid w:val="171F08A8"/>
    <w:rsid w:val="1A7F592A"/>
    <w:rsid w:val="202B0A58"/>
    <w:rsid w:val="264C00E0"/>
    <w:rsid w:val="26AA4C02"/>
    <w:rsid w:val="2C3B390A"/>
    <w:rsid w:val="2E0A7295"/>
    <w:rsid w:val="2E5A7E9E"/>
    <w:rsid w:val="301148FE"/>
    <w:rsid w:val="32244D33"/>
    <w:rsid w:val="34192E27"/>
    <w:rsid w:val="363E2BEC"/>
    <w:rsid w:val="370F451F"/>
    <w:rsid w:val="371B79EB"/>
    <w:rsid w:val="37BF5F30"/>
    <w:rsid w:val="385C3AE0"/>
    <w:rsid w:val="3A406483"/>
    <w:rsid w:val="3B0A0249"/>
    <w:rsid w:val="40333716"/>
    <w:rsid w:val="410E383B"/>
    <w:rsid w:val="472651D9"/>
    <w:rsid w:val="47E31EEF"/>
    <w:rsid w:val="492C292B"/>
    <w:rsid w:val="4AD44DC9"/>
    <w:rsid w:val="4B2F5EAF"/>
    <w:rsid w:val="4DE13BCC"/>
    <w:rsid w:val="50616702"/>
    <w:rsid w:val="514F60D8"/>
    <w:rsid w:val="51CD70E0"/>
    <w:rsid w:val="5394500B"/>
    <w:rsid w:val="53C7150F"/>
    <w:rsid w:val="5C6E4EBE"/>
    <w:rsid w:val="5DE14BD7"/>
    <w:rsid w:val="5E4D2112"/>
    <w:rsid w:val="5F2500E4"/>
    <w:rsid w:val="60CD752C"/>
    <w:rsid w:val="637E76BA"/>
    <w:rsid w:val="6C24686D"/>
    <w:rsid w:val="6C9A6924"/>
    <w:rsid w:val="732A42CB"/>
    <w:rsid w:val="75E13490"/>
    <w:rsid w:val="75F6235E"/>
    <w:rsid w:val="77D6296F"/>
    <w:rsid w:val="7B4B3BAA"/>
    <w:rsid w:val="7C0B2AC9"/>
    <w:rsid w:val="7C20086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qFormat="1" w:unhideWhenUsed="0" w:uiPriority="0" w:semiHidden="0"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qFormat="1" w:unhideWhenUsed="0" w:uiPriority="0" w:semiHidden="0"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locked/>
    <w:uiPriority w:val="0"/>
    <w:pPr>
      <w:keepNext/>
      <w:keepLines/>
      <w:spacing w:before="340" w:after="330" w:line="576" w:lineRule="auto"/>
      <w:outlineLvl w:val="0"/>
    </w:pPr>
    <w:rPr>
      <w:b/>
      <w:bCs/>
      <w:kern w:val="44"/>
      <w:sz w:val="44"/>
      <w:szCs w:val="44"/>
    </w:rPr>
  </w:style>
  <w:style w:type="paragraph" w:styleId="4">
    <w:name w:val="heading 2"/>
    <w:basedOn w:val="1"/>
    <w:next w:val="1"/>
    <w:qFormat/>
    <w:locked/>
    <w:uiPriority w:val="0"/>
    <w:pPr>
      <w:keepNext/>
      <w:keepLines/>
      <w:spacing w:before="260" w:after="260" w:line="415" w:lineRule="auto"/>
      <w:outlineLvl w:val="1"/>
    </w:pPr>
    <w:rPr>
      <w:rFonts w:ascii="Cambria" w:hAnsi="Cambria"/>
      <w:b/>
      <w:bCs/>
      <w:sz w:val="32"/>
      <w:szCs w:val="32"/>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Plain Text"/>
    <w:basedOn w:val="1"/>
    <w:qFormat/>
    <w:uiPriority w:val="0"/>
    <w:pPr>
      <w:widowControl/>
      <w:tabs>
        <w:tab w:val="left" w:pos="4305"/>
      </w:tabs>
      <w:jc w:val="left"/>
    </w:pPr>
    <w:rPr>
      <w:rFonts w:ascii="宋体" w:hAnsi="宋体" w:eastAsia="Times New Roman" w:cs="Times New Roman"/>
      <w:kern w:val="0"/>
      <w:sz w:val="20"/>
      <w:szCs w:val="21"/>
      <w:lang w:val="en-US" w:eastAsia="zh-CN" w:bidi="ar-SA"/>
    </w:rPr>
  </w:style>
  <w:style w:type="paragraph" w:styleId="5">
    <w:name w:val="Body Text"/>
    <w:qFormat/>
    <w:uiPriority w:val="0"/>
    <w:pPr>
      <w:widowControl w:val="0"/>
      <w:spacing w:after="120"/>
      <w:jc w:val="both"/>
    </w:pPr>
    <w:rPr>
      <w:rFonts w:ascii="Calibri" w:hAnsi="Calibri" w:eastAsia="宋体" w:cs="Times New Roman"/>
      <w:kern w:val="2"/>
      <w:sz w:val="21"/>
      <w:szCs w:val="24"/>
      <w:lang w:val="en-US" w:eastAsia="zh-CN" w:bidi="ar-SA"/>
    </w:rPr>
  </w:style>
  <w:style w:type="paragraph" w:styleId="6">
    <w:name w:val="footer"/>
    <w:basedOn w:val="1"/>
    <w:link w:val="13"/>
    <w:semiHidden/>
    <w:qFormat/>
    <w:uiPriority w:val="99"/>
    <w:pPr>
      <w:tabs>
        <w:tab w:val="center" w:pos="4153"/>
        <w:tab w:val="right" w:pos="8306"/>
      </w:tabs>
      <w:snapToGrid w:val="0"/>
      <w:jc w:val="left"/>
    </w:pPr>
    <w:rPr>
      <w:sz w:val="18"/>
      <w:szCs w:val="18"/>
    </w:rPr>
  </w:style>
  <w:style w:type="paragraph" w:styleId="7">
    <w:name w:val="header"/>
    <w:basedOn w:val="1"/>
    <w:link w:val="14"/>
    <w:semiHidden/>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next w:val="5"/>
    <w:qFormat/>
    <w:uiPriority w:val="0"/>
    <w:pPr>
      <w:widowControl w:val="0"/>
      <w:snapToGrid w:val="0"/>
      <w:jc w:val="left"/>
    </w:pPr>
    <w:rPr>
      <w:rFonts w:ascii="Calibri" w:hAnsi="Calibri" w:eastAsia="宋体" w:cs="Calibri"/>
      <w:kern w:val="2"/>
      <w:sz w:val="18"/>
      <w:szCs w:val="18"/>
      <w:lang w:val="en-US" w:eastAsia="zh-CN" w:bidi="ar-SA"/>
    </w:rPr>
  </w:style>
  <w:style w:type="paragraph" w:styleId="9">
    <w:name w:val="Normal (Web)"/>
    <w:basedOn w:val="1"/>
    <w:qFormat/>
    <w:uiPriority w:val="99"/>
    <w:pPr>
      <w:spacing w:beforeAutospacing="1" w:afterAutospacing="1"/>
      <w:jc w:val="left"/>
    </w:pPr>
    <w:rPr>
      <w:rFonts w:ascii="Calibri" w:hAnsi="Calibri"/>
      <w:kern w:val="0"/>
      <w:sz w:val="24"/>
      <w:szCs w:val="24"/>
    </w:rPr>
  </w:style>
  <w:style w:type="character" w:styleId="12">
    <w:name w:val="page number"/>
    <w:basedOn w:val="11"/>
    <w:qFormat/>
    <w:uiPriority w:val="99"/>
    <w:rPr>
      <w:rFonts w:cs="Times New Roman"/>
    </w:rPr>
  </w:style>
  <w:style w:type="character" w:customStyle="1" w:styleId="13">
    <w:name w:val="页脚 Char"/>
    <w:basedOn w:val="11"/>
    <w:link w:val="6"/>
    <w:semiHidden/>
    <w:qFormat/>
    <w:locked/>
    <w:uiPriority w:val="99"/>
    <w:rPr>
      <w:rFonts w:ascii="Times New Roman" w:hAnsi="Times New Roman" w:eastAsia="宋体" w:cs="Times New Roman"/>
      <w:sz w:val="18"/>
      <w:szCs w:val="18"/>
    </w:rPr>
  </w:style>
  <w:style w:type="character" w:customStyle="1" w:styleId="14">
    <w:name w:val="页眉 Char"/>
    <w:basedOn w:val="11"/>
    <w:link w:val="7"/>
    <w:semiHidden/>
    <w:qFormat/>
    <w:locked/>
    <w:uiPriority w:val="99"/>
    <w:rPr>
      <w:rFonts w:ascii="Times New Roman" w:hAnsi="Times New Roman" w:eastAsia="宋体" w:cs="Times New Roman"/>
      <w:sz w:val="18"/>
      <w:szCs w:val="18"/>
    </w:rPr>
  </w:style>
  <w:style w:type="paragraph" w:customStyle="1" w:styleId="15">
    <w:name w:val="列出段落1"/>
    <w:basedOn w:val="1"/>
    <w:qFormat/>
    <w:uiPriority w:val="99"/>
    <w:pPr>
      <w:ind w:firstLine="420" w:firstLineChars="200"/>
      <w:jc w:val="left"/>
    </w:pPr>
    <w:rPr>
      <w:rFonts w:cs="宋体"/>
      <w:szCs w:val="21"/>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84</Pages>
  <Words>6322</Words>
  <Characters>36039</Characters>
  <Lines>300</Lines>
  <Paragraphs>84</Paragraphs>
  <TotalTime>3</TotalTime>
  <ScaleCrop>false</ScaleCrop>
  <LinksUpToDate>false</LinksUpToDate>
  <CharactersWithSpaces>42277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2018-12-03T02:13:00Z</dcterms:created>
  <dc:creator>2013</dc:creator>
  <cp:lastModifiedBy>PC398</cp:lastModifiedBy>
  <cp:lastPrinted>2020-01-07T02:14:00Z</cp:lastPrinted>
  <dcterms:modified xsi:type="dcterms:W3CDTF">2022-03-03T09:20:49Z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92DE3A44374041DEB7A023711F9045B3</vt:lpwstr>
  </property>
</Properties>
</file>