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widowControl w:val="0"/>
        <w:wordWrap/>
        <w:adjustRightInd w:val="0"/>
        <w:snapToGrid w:val="0"/>
        <w:spacing w:before="0" w:beforeAutospacing="0" w:after="0" w:afterAutospacing="0" w:line="560" w:lineRule="exact"/>
        <w:ind w:left="0" w:leftChars="0" w:right="0" w:firstLine="640" w:firstLineChars="200"/>
        <w:jc w:val="left"/>
        <w:textAlignment w:val="auto"/>
        <w:outlineLvl w:val="9"/>
        <w:rPr>
          <w:rFonts w:hint="eastAsia" w:ascii="仿宋" w:hAnsi="仿宋" w:eastAsia="仿宋" w:cs="仿宋"/>
          <w:b w:val="0"/>
          <w:bCs w:val="0"/>
          <w:sz w:val="32"/>
          <w:szCs w:val="32"/>
          <w:lang w:bidi="ar-SA"/>
        </w:rPr>
      </w:pPr>
      <w:r>
        <w:rPr>
          <w:rFonts w:hint="eastAsia" w:ascii="仿宋" w:hAnsi="仿宋" w:eastAsia="仿宋" w:cs="仿宋"/>
          <w:b w:val="0"/>
          <w:bCs w:val="0"/>
          <w:sz w:val="32"/>
          <w:szCs w:val="32"/>
          <w:lang w:bidi="ar-SA"/>
        </w:rPr>
        <w:br/>
      </w:r>
    </w:p>
    <w:p>
      <w:pPr>
        <w:pStyle w:val="5"/>
        <w:widowControl/>
        <w:wordWrap/>
        <w:spacing w:before="0" w:after="0" w:line="560" w:lineRule="exact"/>
        <w:ind w:left="0" w:leftChars="0" w:right="0"/>
        <w:jc w:val="center"/>
        <w:textAlignment w:val="auto"/>
        <w:rPr>
          <w:rFonts w:hint="eastAsia" w:ascii="仿宋_GB2312" w:hAnsi="仿宋_GB2312" w:eastAsia="仿宋_GB2312" w:cs="仿宋_GB2312"/>
          <w:i w:val="0"/>
          <w:caps w:val="0"/>
          <w:color w:val="000000"/>
          <w:spacing w:val="0"/>
          <w:sz w:val="32"/>
          <w:szCs w:val="32"/>
          <w:highlight w:val="none"/>
          <w:lang w:val="en-US" w:eastAsia="zh-CN"/>
        </w:rPr>
      </w:pPr>
      <w:bookmarkStart w:id="0" w:name="_GoBack"/>
      <w:r>
        <w:rPr>
          <w:rFonts w:hint="eastAsia" w:ascii="宋体" w:hAnsi="宋体" w:eastAsia="宋体" w:cs="宋体"/>
          <w:b w:val="0"/>
          <w:bCs w:val="0"/>
          <w:kern w:val="2"/>
          <w:sz w:val="44"/>
          <w:szCs w:val="44"/>
          <w:lang w:val="en-US" w:eastAsia="zh-CN" w:bidi="ar-SA"/>
        </w:rPr>
        <w:t>河北省人民代表大会常务委员会</w:t>
      </w:r>
      <w:r>
        <w:rPr>
          <w:rFonts w:hint="eastAsia" w:ascii="宋体" w:hAnsi="宋体" w:eastAsia="宋体" w:cs="宋体"/>
          <w:b w:val="0"/>
          <w:bCs w:val="0"/>
          <w:kern w:val="2"/>
          <w:sz w:val="44"/>
          <w:szCs w:val="44"/>
          <w:lang w:val="en-US" w:eastAsia="zh-CN" w:bidi="ar-SA"/>
        </w:rPr>
        <w:br/>
      </w:r>
      <w:r>
        <w:rPr>
          <w:rFonts w:hint="eastAsia" w:ascii="宋体" w:hAnsi="宋体" w:eastAsia="宋体" w:cs="宋体"/>
          <w:b w:val="0"/>
          <w:bCs w:val="0"/>
          <w:kern w:val="2"/>
          <w:sz w:val="44"/>
          <w:szCs w:val="44"/>
          <w:lang w:val="en-US" w:eastAsia="zh-CN" w:bidi="ar-SA"/>
        </w:rPr>
        <w:t>关于废止《河北省民办教育条例》等</w:t>
      </w:r>
      <w:r>
        <w:rPr>
          <w:rFonts w:hint="eastAsia" w:ascii="宋体" w:hAnsi="宋体" w:eastAsia="宋体" w:cs="宋体"/>
          <w:b w:val="0"/>
          <w:bCs w:val="0"/>
          <w:kern w:val="2"/>
          <w:sz w:val="44"/>
          <w:szCs w:val="44"/>
          <w:lang w:val="en-US" w:eastAsia="zh-CN" w:bidi="ar-SA"/>
        </w:rPr>
        <w:br/>
      </w:r>
      <w:r>
        <w:rPr>
          <w:rFonts w:hint="eastAsia" w:ascii="宋体" w:hAnsi="宋体" w:eastAsia="宋体" w:cs="宋体"/>
          <w:b w:val="0"/>
          <w:bCs w:val="0"/>
          <w:kern w:val="2"/>
          <w:sz w:val="44"/>
          <w:szCs w:val="44"/>
          <w:lang w:val="en-US" w:eastAsia="zh-CN" w:bidi="ar-SA"/>
        </w:rPr>
        <w:t>三部法规的决定</w:t>
      </w:r>
      <w:bookmarkEnd w:id="0"/>
      <w:r>
        <w:rPr>
          <w:rFonts w:hint="eastAsia" w:ascii="方正小标宋_GBK" w:hAnsi="方正小标宋_GBK" w:eastAsia="方正小标宋_GBK" w:cs="方正小标宋_GBK"/>
          <w:b w:val="0"/>
          <w:bCs w:val="0"/>
          <w:kern w:val="2"/>
          <w:sz w:val="44"/>
          <w:szCs w:val="44"/>
          <w:lang w:val="en-US" w:eastAsia="zh-CN" w:bidi="ar-SA"/>
        </w:rPr>
        <w:br/>
      </w:r>
      <w:r>
        <w:rPr>
          <w:rFonts w:hint="eastAsia" w:ascii="仿宋_GB2312" w:hAnsi="仿宋_GB2312" w:eastAsia="仿宋_GB2312" w:cs="仿宋_GB2312"/>
          <w:i w:val="0"/>
          <w:caps w:val="0"/>
          <w:color w:val="000000"/>
          <w:spacing w:val="0"/>
          <w:sz w:val="32"/>
          <w:szCs w:val="32"/>
          <w:highlight w:val="none"/>
          <w:lang w:val="en-US" w:eastAsia="zh-CN"/>
        </w:rPr>
        <w:t>（2021年9月29日河北省第十三届人民代表大会</w:t>
      </w:r>
      <w:r>
        <w:rPr>
          <w:rFonts w:hint="eastAsia" w:ascii="仿宋_GB2312" w:hAnsi="仿宋_GB2312" w:eastAsia="仿宋_GB2312" w:cs="仿宋_GB2312"/>
          <w:i w:val="0"/>
          <w:caps w:val="0"/>
          <w:color w:val="000000"/>
          <w:spacing w:val="0"/>
          <w:sz w:val="32"/>
          <w:szCs w:val="32"/>
          <w:highlight w:val="none"/>
          <w:lang w:val="en-US" w:eastAsia="zh-CN"/>
        </w:rPr>
        <w:br/>
      </w:r>
      <w:r>
        <w:rPr>
          <w:rFonts w:hint="eastAsia" w:ascii="仿宋_GB2312" w:hAnsi="仿宋_GB2312" w:eastAsia="仿宋_GB2312" w:cs="仿宋_GB2312"/>
          <w:i w:val="0"/>
          <w:caps w:val="0"/>
          <w:color w:val="000000"/>
          <w:spacing w:val="0"/>
          <w:sz w:val="32"/>
          <w:szCs w:val="32"/>
          <w:highlight w:val="none"/>
          <w:lang w:val="en-US" w:eastAsia="zh-CN"/>
        </w:rPr>
        <w:t>常务委员会第二十五次会议通过）</w:t>
      </w:r>
    </w:p>
    <w:p>
      <w:pPr>
        <w:pStyle w:val="5"/>
        <w:widowControl/>
        <w:wordWrap/>
        <w:spacing w:before="0" w:after="0" w:line="560" w:lineRule="exact"/>
        <w:ind w:left="0" w:leftChars="0" w:right="0"/>
        <w:jc w:val="center"/>
        <w:textAlignment w:val="auto"/>
        <w:rPr>
          <w:rFonts w:hint="eastAsia" w:ascii="仿宋_GB2312" w:hAnsi="仿宋_GB2312" w:eastAsia="仿宋_GB2312" w:cs="仿宋_GB2312"/>
          <w:i w:val="0"/>
          <w:caps w:val="0"/>
          <w:color w:val="000000"/>
          <w:spacing w:val="0"/>
          <w:sz w:val="32"/>
          <w:szCs w:val="32"/>
          <w:highlight w:val="none"/>
          <w:lang w:val="en-US" w:eastAsia="zh-CN"/>
        </w:rPr>
      </w:pPr>
    </w:p>
    <w:p>
      <w:pPr>
        <w:pStyle w:val="5"/>
        <w:widowControl/>
        <w:wordWrap/>
        <w:adjustRightInd/>
        <w:snapToGrid/>
        <w:spacing w:before="0" w:after="0" w:line="560" w:lineRule="exact"/>
        <w:ind w:left="0" w:leftChars="0" w:right="0" w:firstLine="0" w:firstLineChars="0"/>
        <w:jc w:val="left"/>
        <w:textAlignment w:val="auto"/>
        <w:outlineLvl w:val="9"/>
        <w:rPr>
          <w:rFonts w:hint="eastAsia" w:ascii="仿宋_GB2312" w:hAnsi="仿宋_GB2312" w:eastAsia="仿宋_GB2312" w:cs="仿宋_GB2312"/>
          <w:b w:val="0"/>
          <w:bCs w:val="0"/>
          <w:sz w:val="32"/>
          <w:szCs w:val="32"/>
        </w:rPr>
      </w:pPr>
      <w:r>
        <w:rPr>
          <w:b w:val="0"/>
          <w:bCs w:val="0"/>
        </w:rPr>
        <w:t>　</w:t>
      </w:r>
      <w:r>
        <w:rPr>
          <w:rFonts w:hint="eastAsia" w:ascii="仿宋_GB2312" w:hAnsi="仿宋_GB2312" w:eastAsia="仿宋_GB2312" w:cs="仿宋_GB2312"/>
          <w:b w:val="0"/>
          <w:bCs w:val="0"/>
          <w:sz w:val="32"/>
          <w:szCs w:val="32"/>
        </w:rPr>
        <w:t>　河北省第十三届人民代表大会第二十五次会议决定，废止下列法规：</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一、河北省民办教育条例</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（2001年6月1日河北省第九届人民代表大会常务委员会第二十一次会议通过　根据2004年7月22日河北省第十届人民代表大会常务委员会第十次会议《关于第一批废止地方性法规中若干行政许可规定的决定》修正　根据2010年7月30日河北省第十一届人民代表大会常务委员会第十七次会议《关于修改部分法规的决定》第二次修正　根据2015年7月24日河北省第十二届人民代表大会常务委员会第十六次会议《关于修改〈河北省食盐加碘消除碘缺乏危害监督管理条例〉等8部法规的决定》第三次修正　根据2019年7月25日河北省第十三届人民代表大会常务委员会第十一次会议《关于修改部分法规的决定》第四次修正）</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　二、河北省人民代表大会常务委员会关于地方性法规设定行政处罚的若干规定</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（2014年5月30日河北省第十二届人民代表大会常务委员会第八次会议通过）</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三、河北省人民代表大会常务委员会关于《清东陵保护管理办法》适用于清西陵保护管理的决定</w:t>
      </w:r>
    </w:p>
    <w:p>
      <w:pPr>
        <w:pStyle w:val="5"/>
        <w:widowControl/>
        <w:wordWrap/>
        <w:adjustRightInd/>
        <w:snapToGrid/>
        <w:spacing w:before="0" w:after="0" w:line="560" w:lineRule="exact"/>
        <w:ind w:left="0" w:leftChars="0" w:right="0" w:firstLine="0" w:firstLineChars="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（2002年9月28日河北省第九届人民代表大会常务委员会第二十九次会议通过）</w:t>
      </w:r>
    </w:p>
    <w:p>
      <w:pPr>
        <w:pStyle w:val="5"/>
        <w:widowControl/>
        <w:wordWrap/>
        <w:adjustRightInd/>
        <w:snapToGrid/>
        <w:spacing w:before="0" w:after="0" w:afterAutospacing="0" w:line="560" w:lineRule="exact"/>
        <w:ind w:left="0" w:leftChars="0" w:right="0" w:firstLine="0" w:firstLineChars="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本决定自公布之日起施行。</w:t>
      </w:r>
      <w:r>
        <w:rPr>
          <w:rFonts w:hint="eastAsia" w:ascii="仿宋_GB2312" w:hAnsi="仿宋_GB2312" w:eastAsia="仿宋_GB2312" w:cs="仿宋_GB2312"/>
          <w:b w:val="0"/>
          <w:bCs w:val="0"/>
          <w:sz w:val="32"/>
          <w:szCs w:val="32"/>
        </w:rPr>
        <w:br/>
      </w:r>
    </w:p>
    <w:p>
      <w:pPr>
        <w:pStyle w:val="5"/>
        <w:widowControl/>
        <w:wordWrap/>
        <w:spacing w:before="0" w:after="0" w:afterAutospacing="0" w:line="560" w:lineRule="exact"/>
        <w:ind w:left="0" w:leftChars="0" w:right="0"/>
        <w:textAlignment w:val="auto"/>
        <w:rPr>
          <w:b/>
        </w:rPr>
      </w:pPr>
    </w:p>
    <w:sectPr>
      <w:footerReference r:id="rId4" w:type="default"/>
      <w:pgSz w:w="11906" w:h="16838"/>
      <w:pgMar w:top="2098" w:right="1531" w:bottom="1984" w:left="1531" w:header="851" w:footer="1701" w:gutter="0"/>
      <w:pgNumType w:fmt="numberInDash"/>
      <w:cols w:space="720" w:num="1"/>
      <w:rtlGutter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光书宋_CNKI">
    <w:altName w:val="宋体"/>
    <w:panose1 w:val="02000500000000000000"/>
    <w:charset w:val="86"/>
    <w:family w:val="auto"/>
    <w:pitch w:val="default"/>
    <w:sig w:usb0="A00002BF" w:usb1="38CF7CFA" w:usb2="00000016" w:usb3="00000000" w:csb0="0004000F" w:csb1="00000000"/>
  </w:font>
  <w:font w:name="华光中雅_CNKI">
    <w:altName w:val="宋体"/>
    <w:panose1 w:val="02000500000000000000"/>
    <w:charset w:val="86"/>
    <w:family w:val="auto"/>
    <w:pitch w:val="default"/>
    <w:sig w:usb0="800002BF" w:usb1="18CF7CF8" w:usb2="00000036" w:usb3="00000000" w:csb0="0004000F" w:csb1="00000000"/>
  </w:font>
  <w:font w:name="华光中长宋_CNKI">
    <w:altName w:val="宋体"/>
    <w:panose1 w:val="02000500000000000000"/>
    <w:charset w:val="86"/>
    <w:family w:val="auto"/>
    <w:pitch w:val="default"/>
    <w:sig w:usb0="A00002BF" w:usb1="38CF7CFA" w:usb2="00000016" w:usb3="00000000" w:csb0="0004000F" w:csb1="00000000"/>
  </w:font>
  <w:font w:name="华光中等线_CNKI">
    <w:altName w:val="宋体"/>
    <w:panose1 w:val="02000500000000000000"/>
    <w:charset w:val="86"/>
    <w:family w:val="auto"/>
    <w:pitch w:val="default"/>
    <w:sig w:usb0="A00002BF" w:usb1="38CF7CFA" w:usb2="00000016" w:usb3="00000000" w:csb0="0004000F" w:csb1="00000000"/>
  </w:font>
  <w:font w:name="华光中楷_CNKI">
    <w:altName w:val="楷体_GB2312"/>
    <w:panose1 w:val="02000500000000000000"/>
    <w:charset w:val="86"/>
    <w:family w:val="auto"/>
    <w:pitch w:val="default"/>
    <w:sig w:usb0="A00002BF" w:usb1="38CF7CFA" w:usb2="00000016" w:usb3="00000000" w:csb0="0004000F" w:csb1="00000000"/>
  </w:font>
  <w:font w:name="华光中圆_CNKI">
    <w:altName w:val="宋体"/>
    <w:panose1 w:val="02000500000000000000"/>
    <w:charset w:val="86"/>
    <w:family w:val="auto"/>
    <w:pitch w:val="default"/>
    <w:sig w:usb0="A00002BF" w:usb1="18CF7CFA" w:usb2="00000016" w:usb3="00000000" w:csb0="0004000F" w:csb1="00000000"/>
  </w:font>
  <w:font w:name="华光平黑_CNKI">
    <w:altName w:val="黑体"/>
    <w:panose1 w:val="02000500000000000000"/>
    <w:charset w:val="86"/>
    <w:family w:val="auto"/>
    <w:pitch w:val="default"/>
    <w:sig w:usb0="A00002BF" w:usb1="38CF7CFA" w:usb2="00000016" w:usb3="00000000" w:csb0="0004000F" w:csb1="00000000"/>
  </w:font>
  <w:font w:name="华光小标宋_CNKI">
    <w:altName w:val="宋体"/>
    <w:panose1 w:val="02000500000000000000"/>
    <w:charset w:val="86"/>
    <w:family w:val="auto"/>
    <w:pitch w:val="default"/>
    <w:sig w:usb0="A00002BF" w:usb1="38CF7CFA" w:usb2="00000016" w:usb3="00000000" w:csb0="0004000F" w:csb1="00000000"/>
  </w:font>
  <w:font w:name="华光姚体_CNKI">
    <w:altName w:val="宋体"/>
    <w:panose1 w:val="02000500000000000000"/>
    <w:charset w:val="86"/>
    <w:family w:val="auto"/>
    <w:pitch w:val="default"/>
    <w:sig w:usb0="A00002BF" w:usb1="38CF7CFA" w:usb2="00000016" w:usb3="00000000" w:csb0="0004000F" w:csb1="00000000"/>
  </w:font>
  <w:font w:name="华光大黑二_CNKI">
    <w:altName w:val="黑体"/>
    <w:panose1 w:val="02000500000000000000"/>
    <w:charset w:val="86"/>
    <w:family w:val="auto"/>
    <w:pitch w:val="default"/>
    <w:sig w:usb0="800002BF" w:usb1="38CF7CFA" w:usb2="00000016" w:usb3="00000000" w:csb0="0004000F" w:csb1="00000000"/>
  </w:font>
  <w:font w:name="华光大黑_CNKI">
    <w:altName w:val="黑体"/>
    <w:panose1 w:val="02000500000000000000"/>
    <w:charset w:val="86"/>
    <w:family w:val="auto"/>
    <w:pitch w:val="default"/>
    <w:sig w:usb0="A00002BF" w:usb1="38CF7CFA" w:usb2="00000016" w:usb3="00000000" w:csb0="0004000F" w:csb1="00000000"/>
  </w:font>
  <w:font w:name="华光大标宋_CNKI">
    <w:altName w:val="宋体"/>
    <w:panose1 w:val="02000500000000000000"/>
    <w:charset w:val="86"/>
    <w:family w:val="auto"/>
    <w:pitch w:val="default"/>
    <w:sig w:usb0="A00002BF" w:usb1="38CF7CFA" w:usb2="00000016" w:usb3="00000000" w:csb0="0004000F" w:csb1="00000000"/>
  </w:font>
  <w:font w:name="华光准圆_CNKI">
    <w:altName w:val="宋体"/>
    <w:panose1 w:val="02000500000000000000"/>
    <w:charset w:val="86"/>
    <w:family w:val="auto"/>
    <w:pitch w:val="default"/>
    <w:sig w:usb0="A00002BF" w:usb1="38CF7CFA" w:usb2="00000016" w:usb3="00000000" w:csb0="0004000F" w:csb1="00000000"/>
  </w:font>
  <w:font w:name="华光仿宋二_CNKI">
    <w:altName w:val="仿宋"/>
    <w:panose1 w:val="02000500000000000000"/>
    <w:charset w:val="86"/>
    <w:family w:val="auto"/>
    <w:pitch w:val="default"/>
    <w:sig w:usb0="A00002BF" w:usb1="38CF7CFA" w:usb2="00000016" w:usb3="00000000" w:csb0="0004000F" w:csb1="00000000"/>
  </w:font>
  <w:font w:name="华光仿宋一_CNKI">
    <w:altName w:val="仿宋"/>
    <w:panose1 w:val="02000500000000000000"/>
    <w:charset w:val="86"/>
    <w:family w:val="auto"/>
    <w:pitch w:val="default"/>
    <w:sig w:usb0="A00002BF" w:usb1="38CF7CFA" w:usb2="00000016" w:usb3="00000000" w:csb0="0004000F" w:csb1="00000000"/>
  </w:font>
  <w:font w:name="华光仿宋_CNKI">
    <w:altName w:val="仿宋"/>
    <w:panose1 w:val="02000500000000000000"/>
    <w:charset w:val="86"/>
    <w:family w:val="auto"/>
    <w:pitch w:val="default"/>
    <w:sig w:usb0="A00002BF" w:usb1="38CF7CFA" w:usb2="00000016" w:usb3="00000000" w:csb0="0004000F" w:csb1="00000000"/>
  </w:font>
  <w:font w:name="华光书宋二_CNKI">
    <w:altName w:val="宋体"/>
    <w:panose1 w:val="02000500000000000000"/>
    <w:charset w:val="86"/>
    <w:family w:val="auto"/>
    <w:pitch w:val="default"/>
    <w:sig w:usb0="A00002BF" w:usb1="38CF7CFA" w:usb2="00000016" w:usb3="00000000" w:csb0="0004000F" w:csb1="00000000"/>
  </w:font>
  <w:font w:name="华光书宋一_CNKI">
    <w:altName w:val="宋体"/>
    <w:panose1 w:val="02000500000000000000"/>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iPriority w:val="0"/>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lenovo</cp:lastModifiedBy>
  <dcterms:modified xsi:type="dcterms:W3CDTF">2021-10-27T07:18:00Z</dcterms:modified>
  <dc:title>_x000B_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