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_GBK" w:hAnsi="方正小标宋_GBK" w:eastAsia="方正小标宋_GBK" w:cs="方正小标宋_GBK"/>
          <w:snapToGrid w:val="0"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snapToGrid w:val="0"/>
          <w:sz w:val="44"/>
          <w:szCs w:val="44"/>
        </w:rPr>
        <w:t>河北省人民代表大会常务委员会</w:t>
      </w:r>
      <w:r>
        <w:rPr>
          <w:rFonts w:hint="eastAsia" w:ascii="方正小标宋_GBK" w:hAnsi="方正小标宋_GBK" w:eastAsia="方正小标宋_GBK" w:cs="方正小标宋_GBK"/>
          <w:snapToGrid w:val="0"/>
          <w:sz w:val="44"/>
          <w:szCs w:val="44"/>
        </w:rPr>
        <w:br w:type="textWrapping"/>
      </w:r>
      <w:r>
        <w:rPr>
          <w:rFonts w:hint="eastAsia" w:ascii="方正小标宋_GBK" w:hAnsi="方正小标宋_GBK" w:eastAsia="方正小标宋_GBK" w:cs="方正小标宋_GBK"/>
          <w:snapToGrid w:val="0"/>
          <w:sz w:val="44"/>
          <w:szCs w:val="44"/>
        </w:rPr>
        <w:t>关于河北省资源税适用税率、计征方式及</w:t>
      </w:r>
      <w:r>
        <w:rPr>
          <w:rFonts w:hint="eastAsia" w:ascii="方正小标宋_GBK" w:hAnsi="方正小标宋_GBK" w:eastAsia="方正小标宋_GBK" w:cs="方正小标宋_GBK"/>
          <w:snapToGrid w:val="0"/>
          <w:sz w:val="44"/>
          <w:szCs w:val="44"/>
        </w:rPr>
        <w:br w:type="textWrapping"/>
      </w:r>
      <w:r>
        <w:rPr>
          <w:rFonts w:hint="eastAsia" w:ascii="方正小标宋_GBK" w:hAnsi="方正小标宋_GBK" w:eastAsia="方正小标宋_GBK" w:cs="方正小标宋_GBK"/>
          <w:snapToGrid w:val="0"/>
          <w:sz w:val="44"/>
          <w:szCs w:val="44"/>
        </w:rPr>
        <w:t>免征减征办法的决定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0" w:line="560" w:lineRule="exact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（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2020年7月30日河北省第十三届人民代表大会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br w:type="textWrapping"/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常务委员会第十八次会议通过）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bookmarkStart w:id="0" w:name="_GoBack"/>
      <w:bookmarkEnd w:id="0"/>
    </w:p>
    <w:p>
      <w:pPr>
        <w:pStyle w:val="5"/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为了促进资源节约集约利用，加强生态环境保护，根据《中华人民共和国资源税法》规定，结合本省实际，对本省资源税有关法律授权事项决定如下: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一、本省资源税的具体适用税率（税额）依照《中华人民共和国资源税法》和本决定所附《河北省资源税税目税率表》执行。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二、本省地热、其他粘土、砂石、矿泉水、天热卤水、石灰岩实行从量计征；其他税目实行从价计征。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三、有下列情形之一的，给予减征或者免征资源税：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（一）纳税人开采销售共生矿，共生矿与主矿产品销售额分开核算的，对共生矿减征10%资源税；未分开核算的，按共生矿和主矿适用税目从高适用税率计征资源税。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（二）纳税人开采销售伴生矿，伴生矿与主矿产品销售额分开核算的，对伴生矿减征30%资源税；未分开核算的，伴生矿按主矿税目和适用税率计征资源税。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纳税人开采或者生产应税产品过程中，因意外事故或者自然灾害等原因遭受重大损失，可以按照实际损失额的20%减征资源税，但减免额最高不超过其遭受重大损失当年资源税应纳税额。单户企业损失额在100万元（含）以下的，由省政府授权省税务局核准后执行减免政策；损失额在100万元至300万元（含）之间的，由省政府授权省税务局会同省财政厅联合核准后执行减免政策；损失额在300万元以上的，由省税务局会同省财政厅联合报省政府批准后执行。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四、本决定自2020年9月1日起施行。2016年7月1日河北省财政厅、河北省地方税务局印发的《河北省矿产资源税实施办法》（冀财税〔2016〕68号）同时废止。 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0" w:afterAutospacing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pStyle w:val="5"/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0" w:afterAutospacing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pStyle w:val="5"/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0" w:afterAutospacing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  <w:sectPr>
          <w:footerReference r:id="rId3" w:type="default"/>
          <w:pgSz w:w="11907" w:h="16839"/>
          <w:pgMar w:top="2098" w:right="1531" w:bottom="1984" w:left="1531" w:header="851" w:footer="1587" w:gutter="0"/>
          <w:pgNumType w:fmt="numberInDash"/>
          <w:cols w:space="0" w:num="1"/>
          <w:rtlGutter w:val="0"/>
          <w:docGrid w:linePitch="554" w:charSpace="0"/>
        </w:sectPr>
      </w:pPr>
      <w:r>
        <w:rPr>
          <w:rFonts w:hint="eastAsia" w:ascii="仿宋_GB2312" w:hAnsi="仿宋_GB2312" w:eastAsia="仿宋_GB2312" w:cs="仿宋_GB2312"/>
          <w:sz w:val="32"/>
          <w:szCs w:val="32"/>
        </w:rPr>
        <w:t>附件：河北省资源税税目税率表</w:t>
      </w:r>
    </w:p>
    <w:p>
      <w:pPr>
        <w:spacing w:line="580" w:lineRule="exact"/>
        <w:jc w:val="center"/>
        <w:rPr>
          <w:rFonts w:hint="eastAsia" w:ascii="方正小标宋_GBK" w:hAnsi="方正小标宋_GBK" w:eastAsia="方正小标宋_GBK" w:cs="方正小标宋_GBK"/>
          <w:spacing w:val="-10"/>
          <w:sz w:val="40"/>
          <w:szCs w:val="40"/>
        </w:rPr>
      </w:pPr>
      <w:r>
        <w:rPr>
          <w:rFonts w:hint="eastAsia" w:ascii="方正小标宋简体" w:hAnsi="方正小标宋简体" w:eastAsia="方正小标宋简体" w:cs="方正小标宋简体"/>
          <w:spacing w:val="0"/>
          <w:sz w:val="44"/>
          <w:szCs w:val="44"/>
        </w:rPr>
        <w:t>河北省资源税税目税率表</w:t>
      </w:r>
    </w:p>
    <w:p>
      <w:pPr>
        <w:jc w:val="center"/>
        <w:rPr>
          <w:sz w:val="10"/>
          <w:szCs w:val="10"/>
        </w:rPr>
      </w:pPr>
    </w:p>
    <w:tbl>
      <w:tblPr>
        <w:tblStyle w:val="7"/>
        <w:tblW w:w="8906" w:type="dxa"/>
        <w:jc w:val="center"/>
        <w:tblInd w:w="16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1134"/>
        <w:gridCol w:w="1989"/>
        <w:gridCol w:w="1079"/>
        <w:gridCol w:w="370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tblHeader/>
          <w:jc w:val="center"/>
        </w:trPr>
        <w:tc>
          <w:tcPr>
            <w:tcW w:w="412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黑体" w:hAnsi="黑体" w:eastAsia="黑体" w:cs="黑体"/>
                <w:b w:val="0"/>
                <w:bCs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kern w:val="0"/>
                <w:sz w:val="24"/>
                <w:szCs w:val="24"/>
              </w:rPr>
              <w:t>税</w:t>
            </w:r>
            <w:r>
              <w:rPr>
                <w:rFonts w:hint="eastAsia" w:ascii="黑体" w:hAnsi="黑体" w:eastAsia="黑体" w:cs="黑体"/>
                <w:b w:val="0"/>
                <w:bCs/>
                <w:color w:val="000000"/>
                <w:kern w:val="0"/>
                <w:sz w:val="24"/>
                <w:szCs w:val="24"/>
                <w:lang w:eastAsia="zh-CN"/>
              </w:rPr>
              <w:t>　　</w:t>
            </w:r>
            <w:r>
              <w:rPr>
                <w:rFonts w:hint="eastAsia" w:ascii="黑体" w:hAnsi="黑体" w:eastAsia="黑体" w:cs="黑体"/>
                <w:b w:val="0"/>
                <w:bCs/>
                <w:color w:val="000000"/>
                <w:kern w:val="0"/>
                <w:sz w:val="24"/>
                <w:szCs w:val="24"/>
              </w:rPr>
              <w:t>目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黑体" w:hAnsi="黑体" w:eastAsia="黑体" w:cs="黑体"/>
                <w:b w:val="0"/>
                <w:bCs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kern w:val="0"/>
                <w:sz w:val="24"/>
                <w:szCs w:val="24"/>
              </w:rPr>
              <w:t>征税对象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黑体" w:hAnsi="黑体" w:eastAsia="黑体" w:cs="黑体"/>
                <w:b w:val="0"/>
                <w:bCs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kern w:val="0"/>
                <w:sz w:val="24"/>
                <w:szCs w:val="24"/>
              </w:rPr>
              <w:t>税</w:t>
            </w:r>
            <w:r>
              <w:rPr>
                <w:rFonts w:hint="eastAsia" w:ascii="黑体" w:hAnsi="黑体" w:eastAsia="黑体" w:cs="黑体"/>
                <w:b w:val="0"/>
                <w:bCs/>
                <w:color w:val="000000"/>
                <w:kern w:val="0"/>
                <w:sz w:val="24"/>
                <w:szCs w:val="24"/>
                <w:lang w:eastAsia="zh-CN"/>
              </w:rPr>
              <w:t>　　</w:t>
            </w:r>
            <w:r>
              <w:rPr>
                <w:rFonts w:hint="eastAsia" w:ascii="黑体" w:hAnsi="黑体" w:eastAsia="黑体" w:cs="黑体"/>
                <w:b w:val="0"/>
                <w:bCs/>
                <w:color w:val="000000"/>
                <w:kern w:val="0"/>
                <w:sz w:val="24"/>
                <w:szCs w:val="24"/>
              </w:rPr>
              <w:t>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能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源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矿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产</w:t>
            </w:r>
          </w:p>
        </w:tc>
        <w:tc>
          <w:tcPr>
            <w:tcW w:w="3123" w:type="dxa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煤</w:t>
            </w:r>
          </w:p>
        </w:tc>
        <w:tc>
          <w:tcPr>
            <w:tcW w:w="107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2020年9月1日至2021年8月31日，税率4.5%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2021年9月1日起，税率6%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2020年9月1日至2021年8月31日，税率3%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2021年9月1日起，税率4%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煤成（层）气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1%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油页岩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4%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3%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/>
              </w:rPr>
              <w:t>地热</w:t>
            </w:r>
          </w:p>
        </w:tc>
        <w:tc>
          <w:tcPr>
            <w:tcW w:w="107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eastAsia="zh-CN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一般行业，2元/立方米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特种行业，30元/立方米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金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属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矿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产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金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属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矿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产</w:t>
            </w:r>
          </w:p>
        </w:tc>
        <w:tc>
          <w:tcPr>
            <w:tcW w:w="113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黑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色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金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属</w:t>
            </w: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铁</w:t>
            </w:r>
          </w:p>
        </w:tc>
        <w:tc>
          <w:tcPr>
            <w:tcW w:w="107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原矿品位20%（含）以下的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税率9%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原矿品位20%以上的，税率6%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4%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锰、铬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6%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3%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钒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3%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1.5%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钛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4%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2%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有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色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金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属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有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色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金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属</w:t>
            </w: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铜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7%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铅、锌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6%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镍、镁、钴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锑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8%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4%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铝土矿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9%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4.5%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金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6%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3%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银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2.5%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铂、钯、钌、锇、铱、铑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铍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6%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3%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锂、镓、镉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4%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2%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铟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2.5%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非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金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属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矿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产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非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金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属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矿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产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pStyle w:val="2"/>
              <w:rPr>
                <w:rFonts w:hint="eastAsia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非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金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属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矿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产</w:t>
            </w:r>
          </w:p>
        </w:tc>
        <w:tc>
          <w:tcPr>
            <w:tcW w:w="113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矿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物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类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矿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物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类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矿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物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类</w:t>
            </w: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高岭土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6%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5.5%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石灰岩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10元/吨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磷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7%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3.5%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石墨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12%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9.5%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萤石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8%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4%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硫铁矿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4%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3%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自然硫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2%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1.5%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天然石英砂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6.5%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脉石英、水晶、刚玉、天然碱、砷、碘、海泡石粘土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2%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1.5%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蓝晶石、长石、菱镁矿、硅藻土、耐火粘土、凹凸棒石粘土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12%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9.5%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膨润土、陶瓷土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8%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6.5%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硅线石（矽线石）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4%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滑石、铁矾土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8%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叶蜡石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3%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2.5%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硅灰石、方解石、透闪石、红柱石、蓝石棉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2.5%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2%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云母、沸石、石榴子石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7.5%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6%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透辉石、珍珠岩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8%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蛭石、石膏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8%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6.5%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重晶石、石棉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3%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2.5%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其他粘土（铸型用粘土、砖瓦用粘土、陶粒用粘土、水泥配料用粘土、水泥配料用红土、水泥配料用黄土、水泥配料用泥岩、保温材料用粘土）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5元/立方米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大理岩、石英岩、砂岩、板岩、角闪岩、页岩、浮石、凝灰岩、正长岩、含钾砂页岩、天然油石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7%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5.5%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白云岩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8%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2.5%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片麻岩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8%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7%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玄武岩、辉绿岩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8%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4%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花岗岩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8%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3%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安山岩、泥炭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4%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闪长岩、黑曜岩、蛇纹岩、麦饭石、橄榄岩、松脂岩、辉长岩、辉石岩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2%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1.5%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砂石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5元/吨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宝玉石类</w:t>
            </w: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宝石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20%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16%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玛瑙、黄玉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989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  <w:t>4%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水气矿产</w:t>
            </w:r>
          </w:p>
        </w:tc>
        <w:tc>
          <w:tcPr>
            <w:tcW w:w="312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矿泉水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30元/立方米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盐</w:t>
            </w:r>
          </w:p>
        </w:tc>
        <w:tc>
          <w:tcPr>
            <w:tcW w:w="312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钠盐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选矿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天然卤水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原矿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4元/立方米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1" w:type="dxa"/>
            <w:vMerge w:val="continu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海盐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氯化钠初级产品</w:t>
            </w:r>
          </w:p>
        </w:tc>
        <w:tc>
          <w:tcPr>
            <w:tcW w:w="3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8906" w:type="dxa"/>
            <w:gridSpan w:val="5"/>
            <w:tcBorders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0" w:beforeAutospacing="0" w:after="0" w:afterAutospacing="0"/>
              <w:ind w:left="630" w:right="0" w:hanging="720" w:hangingChars="300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</w:rPr>
              <w:t>备注：除上述税目外，原油、天然气、页岩气、天然气水合物、铀、钍、钨、钼、中重稀土等9个税目按照《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  <w:lang w:eastAsia="zh-CN"/>
              </w:rPr>
              <w:t>中华人民共和国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</w:rPr>
              <w:t>资源税法》规定税率执行。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58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0" w:afterAutospacing="0" w:line="560" w:lineRule="exact"/>
        <w:ind w:left="0" w:leftChars="0" w:right="0" w:rightChars="0" w:firstLine="640" w:firstLineChars="200"/>
        <w:jc w:val="left"/>
        <w:textAlignment w:val="auto"/>
        <w:outlineLvl w:val="9"/>
      </w:pP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="0" w:after="0" w:line="572" w:lineRule="exact"/>
        <w:ind w:left="0" w:leftChars="0" w:right="0" w:rightChars="0"/>
        <w:jc w:val="center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sectPr>
      <w:pgSz w:w="11907" w:h="16839"/>
      <w:pgMar w:top="2098" w:right="1531" w:bottom="1984" w:left="1531" w:header="851" w:footer="1587" w:gutter="0"/>
      <w:pgNumType w:fmt="numberInDash"/>
      <w:cols w:space="0" w:num="1"/>
      <w:rtlGutter w:val="0"/>
      <w:docGrid w:linePitch="55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书体坊向佳红毛笔行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书体坊米芾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交通标志专用字体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全新硬笔楷书简">
    <w:altName w:val="楷体_GB2312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全新硬笔隶书简">
    <w:altName w:val="隶书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古越軒粗明體">
    <w:altName w:val="Adobe 明體 Std L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字典宋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德彪钢笔行书字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怀良行书空心体">
    <w:altName w:val="宋体"/>
    <w:panose1 w:val="02010800040101010101"/>
    <w:charset w:val="86"/>
    <w:family w:val="auto"/>
    <w:pitch w:val="default"/>
    <w:sig w:usb0="00000000" w:usb1="00000000" w:usb2="00000012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像素15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像素16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准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纤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扁_GBK">
    <w:altName w:val="黑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剑体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黑长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HorizontalSpacing w:val="240"/>
  <w:drawingGridVerticalSpacing w:val="27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75C35"/>
    <w:rsid w:val="01F979DF"/>
    <w:rsid w:val="06A860D9"/>
    <w:rsid w:val="0C1A76E5"/>
    <w:rsid w:val="0E140803"/>
    <w:rsid w:val="122D545C"/>
    <w:rsid w:val="1B2E0496"/>
    <w:rsid w:val="361C2E51"/>
    <w:rsid w:val="3DCE1B6D"/>
    <w:rsid w:val="40FD0A63"/>
    <w:rsid w:val="446113C5"/>
    <w:rsid w:val="47303B90"/>
    <w:rsid w:val="488C50D0"/>
    <w:rsid w:val="493F1F17"/>
    <w:rsid w:val="60CC7090"/>
    <w:rsid w:val="60D75C35"/>
    <w:rsid w:val="6C22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方正仿宋_GBK" w:hAnsi="方正仿宋_GBK" w:eastAsia="方正仿宋_GBK" w:cs="Times New Roman"/>
      <w:color w:val="000000"/>
      <w:sz w:val="24"/>
      <w:szCs w:val="22"/>
      <w:lang w:val="en-US" w:eastAsia="zh-CN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0" w:after="0" w:afterAutospacing="0" w:line="432" w:lineRule="auto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2019-10-25T08:22:00Z</dcterms:created>
  <dc:creator>computer18</dc:creator>
  <cp:lastModifiedBy>5</cp:lastModifiedBy>
  <dcterms:modified xsi:type="dcterms:W3CDTF">2020-08-03T06:22:37Z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