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spacing w:line="240" w:lineRule="auto"/>
        <w:ind w:left="0" w:leftChars="0" w:right="0" w:rightChars="0" w:firstLine="0"/>
        <w:jc w:val="center"/>
        <w:textAlignment w:val="auto"/>
        <w:rPr>
          <w:rFonts w:hint="default" w:ascii="宋体" w:hAnsi="宋体" w:eastAsia="宋体"/>
          <w:b/>
          <w:bCs/>
          <w:i w:val="0"/>
          <w:color w:val="auto"/>
          <w:sz w:val="32"/>
          <w:szCs w:val="32"/>
          <w:u w:val="none" w:color="auto"/>
          <w:lang w:eastAsia="zh-CN"/>
        </w:rPr>
      </w:pPr>
    </w:p>
    <w:p>
      <w:pPr>
        <w:keepNext w:val="0"/>
        <w:keepLines w:val="0"/>
        <w:pageBreakBefore w:val="0"/>
        <w:widowControl w:val="0"/>
        <w:kinsoku/>
        <w:wordWrap/>
        <w:overflowPunct/>
        <w:topLinePunct w:val="0"/>
        <w:autoSpaceDE/>
        <w:autoSpaceDN w:val="0"/>
        <w:bidi w:val="0"/>
        <w:spacing w:line="240" w:lineRule="auto"/>
        <w:ind w:left="0" w:leftChars="0" w:right="0" w:rightChars="0" w:firstLine="0"/>
        <w:jc w:val="center"/>
        <w:textAlignment w:val="auto"/>
        <w:rPr>
          <w:rFonts w:hint="default" w:ascii="宋体" w:hAnsi="宋体" w:eastAsia="宋体"/>
          <w:b/>
          <w:bCs/>
          <w:i w:val="0"/>
          <w:color w:val="auto"/>
          <w:sz w:val="32"/>
          <w:szCs w:val="32"/>
          <w:u w:val="none" w:color="auto"/>
          <w:lang w:eastAsia="zh-CN"/>
        </w:rPr>
      </w:pPr>
    </w:p>
    <w:p>
      <w:pPr>
        <w:keepNext w:val="0"/>
        <w:keepLines w:val="0"/>
        <w:pageBreakBefore w:val="0"/>
        <w:widowControl w:val="0"/>
        <w:kinsoku/>
        <w:wordWrap/>
        <w:overflowPunct/>
        <w:topLinePunct w:val="0"/>
        <w:autoSpaceDE/>
        <w:autoSpaceDN w:val="0"/>
        <w:bidi w:val="0"/>
        <w:spacing w:line="240" w:lineRule="auto"/>
        <w:ind w:left="0" w:leftChars="0" w:right="0" w:rightChars="0" w:firstLine="0"/>
        <w:jc w:val="center"/>
        <w:textAlignment w:val="auto"/>
        <w:rPr>
          <w:rFonts w:hint="default" w:ascii="宋体" w:hAnsi="宋体" w:eastAsia="宋体"/>
          <w:b/>
          <w:bCs/>
          <w:i w:val="0"/>
          <w:color w:val="auto"/>
          <w:sz w:val="44"/>
          <w:szCs w:val="44"/>
          <w:u w:val="none" w:color="auto"/>
          <w:lang w:eastAsia="zh-CN"/>
        </w:rPr>
      </w:pPr>
      <w:r>
        <w:rPr>
          <w:rFonts w:hint="default" w:ascii="宋体" w:hAnsi="宋体" w:eastAsia="宋体"/>
          <w:b/>
          <w:bCs/>
          <w:i w:val="0"/>
          <w:color w:val="auto"/>
          <w:sz w:val="44"/>
          <w:szCs w:val="44"/>
          <w:u w:val="none" w:color="auto"/>
          <w:lang w:eastAsia="zh-CN"/>
        </w:rPr>
        <w:t>河北省节约能源条例</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jc w:val="center"/>
        <w:textAlignment w:val="auto"/>
        <w:rPr>
          <w:rFonts w:hint="default" w:ascii="宋体" w:hAnsi="宋体" w:eastAsia="宋体"/>
          <w:b/>
          <w:bCs/>
          <w:i w:val="0"/>
          <w:color w:val="auto"/>
          <w:sz w:val="44"/>
          <w:szCs w:val="44"/>
          <w:u w:val="none" w:color="auto"/>
          <w:lang w:eastAsia="zh-CN"/>
        </w:rPr>
      </w:pPr>
    </w:p>
    <w:p>
      <w:pPr>
        <w:keepNext w:val="0"/>
        <w:keepLines w:val="0"/>
        <w:pageBreakBefore w:val="0"/>
        <w:widowControl w:val="0"/>
        <w:kinsoku/>
        <w:wordWrap/>
        <w:overflowPunct/>
        <w:topLinePunct w:val="0"/>
        <w:autoSpaceDE/>
        <w:bidi w:val="0"/>
        <w:adjustRightInd w:val="0"/>
        <w:snapToGrid w:val="0"/>
        <w:spacing w:line="240" w:lineRule="auto"/>
        <w:ind w:left="0" w:leftChars="0" w:right="0" w:rightChars="0" w:firstLine="632" w:firstLineChars="200"/>
        <w:jc w:val="center"/>
        <w:textAlignment w:val="auto"/>
        <w:outlineLvl w:val="9"/>
        <w:rPr>
          <w:rFonts w:hint="eastAsia" w:ascii="楷体" w:hAnsi="楷体" w:eastAsia="楷体" w:cs="楷体"/>
          <w:sz w:val="32"/>
        </w:rPr>
      </w:pPr>
      <w:r>
        <w:rPr>
          <w:rFonts w:hint="eastAsia" w:ascii="仿宋_GB2312" w:hAnsi="仿宋_GB2312" w:eastAsia="仿宋_GB2312" w:cs="仿宋_GB2312"/>
          <w:sz w:val="32"/>
        </w:rPr>
        <w:t>（</w:t>
      </w:r>
      <w:r>
        <w:rPr>
          <w:rFonts w:hint="eastAsia" w:ascii="楷体" w:hAnsi="楷体" w:eastAsia="楷体" w:cs="楷体"/>
          <w:sz w:val="32"/>
        </w:rPr>
        <w:t>2006年5月24日河北省第十届人民代表大会常务委员会第二十一次会议通过</w:t>
      </w:r>
      <w:r>
        <w:rPr>
          <w:rFonts w:hint="eastAsia" w:ascii="楷体" w:hAnsi="楷体" w:eastAsia="楷体" w:cs="楷体"/>
          <w:sz w:val="32"/>
          <w:lang w:val="en-US" w:eastAsia="zh-CN"/>
        </w:rPr>
        <w:t xml:space="preserve">  2017年3月30日河北省第十二届人民代表大会常务委员会第二十六次会议修订</w:t>
      </w:r>
      <w:r>
        <w:rPr>
          <w:rFonts w:hint="eastAsia" w:ascii="楷体" w:hAnsi="楷体" w:eastAsia="楷体" w:cs="楷体"/>
          <w:sz w:val="32"/>
        </w:rPr>
        <w:t>）</w:t>
      </w:r>
    </w:p>
    <w:p>
      <w:pPr>
        <w:keepNext w:val="0"/>
        <w:keepLines w:val="0"/>
        <w:pageBreakBefore w:val="0"/>
        <w:widowControl w:val="0"/>
        <w:kinsoku/>
        <w:wordWrap/>
        <w:overflowPunct/>
        <w:topLinePunct w:val="0"/>
        <w:autoSpaceDE/>
        <w:bidi w:val="0"/>
        <w:adjustRightInd w:val="0"/>
        <w:snapToGrid w:val="0"/>
        <w:spacing w:line="240" w:lineRule="auto"/>
        <w:ind w:left="0" w:leftChars="0" w:right="0" w:rightChars="0" w:firstLine="632" w:firstLineChars="200"/>
        <w:jc w:val="center"/>
        <w:textAlignment w:val="auto"/>
        <w:outlineLvl w:val="9"/>
        <w:rPr>
          <w:rFonts w:hint="eastAsia" w:ascii="宋体" w:hAnsi="宋体" w:eastAsia="宋体" w:cs="宋体"/>
          <w:sz w:val="32"/>
          <w:lang w:eastAsia="zh-CN"/>
        </w:rPr>
      </w:pPr>
      <w:bookmarkStart w:id="0" w:name="_GoBack"/>
      <w:bookmarkEnd w:id="0"/>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第一章　总　则</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第一条</w:t>
      </w:r>
      <w:r>
        <w:rPr>
          <w:rFonts w:hint="eastAsia" w:ascii="仿宋" w:hAnsi="仿宋" w:eastAsia="仿宋" w:cs="仿宋"/>
          <w:b w:val="0"/>
          <w:i w:val="0"/>
          <w:color w:val="auto"/>
          <w:sz w:val="32"/>
          <w:szCs w:val="32"/>
          <w:u w:val="none" w:color="auto"/>
          <w:lang w:eastAsia="zh-CN"/>
        </w:rPr>
        <w:t>　为了推进全社会节约能源（以下简称节能），提高能源利用效率，保护和改善环境，实现绿色低碳可持续发展，根据《中华人民共和国节约能源法》等有关法律、行政法规的规定，结合本省实际，制定本条例。</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val="en-US" w:eastAsia="zh-CN"/>
        </w:rPr>
        <w:t xml:space="preserve">    </w:t>
      </w:r>
      <w:r>
        <w:rPr>
          <w:rFonts w:hint="eastAsia" w:ascii="黑体" w:hAnsi="黑体" w:eastAsia="黑体" w:cs="黑体"/>
          <w:b w:val="0"/>
          <w:i w:val="0"/>
          <w:color w:val="auto"/>
          <w:sz w:val="32"/>
          <w:szCs w:val="32"/>
          <w:u w:val="none" w:color="auto"/>
          <w:lang w:eastAsia="zh-CN"/>
        </w:rPr>
        <w:t>第二条</w:t>
      </w:r>
      <w:r>
        <w:rPr>
          <w:rFonts w:hint="eastAsia" w:ascii="仿宋" w:hAnsi="仿宋" w:eastAsia="仿宋" w:cs="仿宋"/>
          <w:b w:val="0"/>
          <w:i w:val="0"/>
          <w:color w:val="auto"/>
          <w:sz w:val="32"/>
          <w:szCs w:val="32"/>
          <w:u w:val="none" w:color="auto"/>
          <w:lang w:eastAsia="zh-CN"/>
        </w:rPr>
        <w:t>　本条例适用于本省行政区域内的节能管理、能源使用和节能技术的开发、利用等活动。</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第三条</w:t>
      </w:r>
      <w:r>
        <w:rPr>
          <w:rFonts w:hint="eastAsia" w:ascii="仿宋" w:hAnsi="仿宋" w:eastAsia="仿宋" w:cs="仿宋"/>
          <w:b w:val="0"/>
          <w:i w:val="0"/>
          <w:color w:val="auto"/>
          <w:sz w:val="32"/>
          <w:szCs w:val="32"/>
          <w:u w:val="none" w:color="auto"/>
          <w:lang w:eastAsia="zh-CN"/>
        </w:rPr>
        <w:t>　节能工作应当遵循政府引导、市场驱动、科技引领、公众参与的原则</w:t>
      </w:r>
      <w:r>
        <w:rPr>
          <w:rFonts w:hint="eastAsia" w:ascii="仿宋" w:hAnsi="仿宋" w:eastAsia="仿宋" w:cs="仿宋"/>
          <w:b w:val="0"/>
          <w:i w:val="0"/>
          <w:iCs w:val="0"/>
          <w:color w:val="auto"/>
          <w:sz w:val="32"/>
          <w:szCs w:val="32"/>
          <w:u w:val="none" w:color="auto"/>
          <w:lang w:eastAsia="zh-CN"/>
        </w:rPr>
        <w:t>；坚持节能与经济社会发展相互促进</w:t>
      </w:r>
      <w:r>
        <w:rPr>
          <w:rFonts w:hint="eastAsia" w:ascii="仿宋" w:hAnsi="仿宋" w:eastAsia="仿宋" w:cs="仿宋"/>
          <w:b w:val="0"/>
          <w:i w:val="0"/>
          <w:color w:val="auto"/>
          <w:sz w:val="32"/>
          <w:szCs w:val="32"/>
          <w:u w:val="none" w:color="auto"/>
          <w:lang w:eastAsia="zh-CN"/>
        </w:rPr>
        <w:t>。</w:t>
      </w:r>
    </w:p>
    <w:p>
      <w:pPr>
        <w:keepNext w:val="0"/>
        <w:keepLines w:val="0"/>
        <w:pageBreakBefore w:val="0"/>
        <w:widowControl w:val="0"/>
        <w:kinsoku/>
        <w:wordWrap/>
        <w:overflowPunct/>
        <w:topLinePunct w:val="0"/>
        <w:autoSpaceDE/>
        <w:autoSpaceDN w:val="0"/>
        <w:bidi w:val="0"/>
        <w:spacing w:line="240" w:lineRule="auto"/>
        <w:ind w:left="0" w:leftChars="0" w:right="0" w:rightChars="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第四条</w:t>
      </w:r>
      <w:r>
        <w:rPr>
          <w:rFonts w:hint="eastAsia" w:ascii="仿宋" w:hAnsi="仿宋" w:eastAsia="仿宋" w:cs="仿宋"/>
          <w:b w:val="0"/>
          <w:i w:val="0"/>
          <w:color w:val="auto"/>
          <w:sz w:val="32"/>
          <w:szCs w:val="32"/>
          <w:u w:val="none" w:color="auto"/>
          <w:lang w:eastAsia="zh-CN"/>
        </w:rPr>
        <w:t>　县级以上人民政府应当加强对节能工作的领导，将节能工作纳入国民经济和社会发展规划、年度计划，并组织编制和实施节能中长期专项规划、年度节能计划。</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第五条</w:t>
      </w:r>
      <w:r>
        <w:rPr>
          <w:rFonts w:hint="eastAsia" w:ascii="仿宋" w:hAnsi="仿宋" w:eastAsia="仿宋" w:cs="仿宋"/>
          <w:b w:val="0"/>
          <w:i w:val="0"/>
          <w:color w:val="auto"/>
          <w:sz w:val="32"/>
          <w:szCs w:val="32"/>
          <w:u w:val="none" w:color="auto"/>
          <w:lang w:eastAsia="zh-CN"/>
        </w:rPr>
        <w:t>　县级以上人民政府发展改革部门是本行政区域的节能主管部门，综合负责节能监督管理工作。</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县级以上人民政府工业和信息化、住房城乡建设、交通运输、农业、统计等有关部门以及负责机关事务管理工作的机构，应当在各自的职责范围内负责节能监督管理工作，并接受同级节能主管部门的指导。</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县级以上人民政府节能主管部门所属的节能监察机构具体负责节能监察工作。</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第六条</w:t>
      </w:r>
      <w:r>
        <w:rPr>
          <w:rFonts w:hint="eastAsia" w:ascii="仿宋" w:hAnsi="仿宋" w:eastAsia="仿宋" w:cs="仿宋"/>
          <w:b w:val="0"/>
          <w:i w:val="0"/>
          <w:color w:val="auto"/>
          <w:sz w:val="32"/>
          <w:szCs w:val="32"/>
          <w:u w:val="none" w:color="auto"/>
          <w:lang w:eastAsia="zh-CN"/>
        </w:rPr>
        <w:t>　本省实行能源消费总量和单位地区生产总值能耗双重控制，建立节能目标责任制和考核评价制度，将目标完成情况作为对设区的市、县（市、区）人民政府及其负责人年度考核评价的内容。</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县级以上人民政府应当每年向上一级人民政府报告节能目标责任的履行情况，并按照要求向本级人民代表大会或者其常务委员会报告年度节能工作。</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第七条</w:t>
      </w:r>
      <w:r>
        <w:rPr>
          <w:rFonts w:hint="eastAsia" w:ascii="黑体" w:hAnsi="黑体" w:eastAsia="黑体" w:cs="黑体"/>
          <w:b w:val="0"/>
          <w:i w:val="0"/>
          <w:color w:val="auto"/>
          <w:sz w:val="32"/>
          <w:szCs w:val="32"/>
          <w:u w:val="none" w:color="auto"/>
          <w:lang w:val="en-US" w:eastAsia="zh-CN"/>
        </w:rPr>
        <w:t xml:space="preserve">  </w:t>
      </w:r>
      <w:r>
        <w:rPr>
          <w:rFonts w:hint="eastAsia" w:ascii="仿宋" w:hAnsi="仿宋" w:eastAsia="仿宋" w:cs="仿宋"/>
          <w:b w:val="0"/>
          <w:i w:val="0"/>
          <w:color w:val="auto"/>
          <w:sz w:val="32"/>
          <w:szCs w:val="32"/>
          <w:u w:val="none" w:color="auto"/>
          <w:lang w:eastAsia="zh-CN"/>
        </w:rPr>
        <w:t>县级以上人民政府及其有关部门应当有效控制能源消费总量，优化能源消费结构，降低煤炭消费比重，鼓励支持开发和利用风能、太阳能、生物质能等新能源、可再生能源，提高清洁能源消费比重。</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第八条</w:t>
      </w:r>
      <w:r>
        <w:rPr>
          <w:rFonts w:hint="eastAsia" w:ascii="仿宋" w:hAnsi="仿宋" w:eastAsia="仿宋" w:cs="仿宋"/>
          <w:b w:val="0"/>
          <w:i w:val="0"/>
          <w:color w:val="auto"/>
          <w:sz w:val="32"/>
          <w:szCs w:val="32"/>
          <w:u w:val="none" w:color="auto"/>
          <w:lang w:eastAsia="zh-CN"/>
        </w:rPr>
        <w:t>　县级以上人民政府及其有关部门应当加强节能宣传和教育，将节能知识、技能纳入国民教育和培训体系，增强公众节能意识，倡导节能环保的生活方式。</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新闻媒体应当加强对节能法律、法规、规章、政策和节能知识的宣传，发挥社会舆论引导和监督作用。</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第九条</w:t>
      </w:r>
      <w:r>
        <w:rPr>
          <w:rFonts w:hint="eastAsia" w:ascii="仿宋" w:hAnsi="仿宋" w:eastAsia="仿宋" w:cs="仿宋"/>
          <w:b w:val="0"/>
          <w:i w:val="0"/>
          <w:color w:val="auto"/>
          <w:sz w:val="32"/>
          <w:szCs w:val="32"/>
          <w:u w:val="none" w:color="auto"/>
          <w:lang w:eastAsia="zh-CN"/>
        </w:rPr>
        <w:t>　任何单位和个人都应当依法履行节能义务，有权举报浪费能源的行为。</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第二章　管理与监督</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第十条</w:t>
      </w:r>
      <w:r>
        <w:rPr>
          <w:rFonts w:hint="eastAsia" w:ascii="仿宋" w:hAnsi="仿宋" w:eastAsia="仿宋" w:cs="仿宋"/>
          <w:b w:val="0"/>
          <w:i w:val="0"/>
          <w:color w:val="auto"/>
          <w:sz w:val="32"/>
          <w:szCs w:val="32"/>
          <w:u w:val="none" w:color="auto"/>
          <w:lang w:eastAsia="zh-CN"/>
        </w:rPr>
        <w:t>　县级以上人民政府应当建立协调机制，健全节能工作体系，对节能工作进行综合部署，研究解决节能工作中的重大问题。</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第十一条</w:t>
      </w:r>
      <w:r>
        <w:rPr>
          <w:rFonts w:hint="eastAsia" w:ascii="仿宋" w:hAnsi="仿宋" w:eastAsia="仿宋" w:cs="仿宋"/>
          <w:b w:val="0"/>
          <w:i w:val="0"/>
          <w:color w:val="auto"/>
          <w:sz w:val="32"/>
          <w:szCs w:val="32"/>
          <w:u w:val="none" w:color="auto"/>
          <w:lang w:eastAsia="zh-CN"/>
        </w:rPr>
        <w:t>　县级以上人民政府节能主管部门和有关部门应当加强对节能工作的监督管理，依法查处违法违规用能行为。</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bCs w:val="0"/>
          <w:i w:val="0"/>
          <w:iCs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节能监察机构对能源生产、经营、使用单位和其他相关单位执行节能法律、法规、规章和强制性节能标准等情况进行监督检查。</w:t>
      </w:r>
      <w:r>
        <w:rPr>
          <w:rFonts w:hint="eastAsia" w:ascii="仿宋" w:hAnsi="仿宋" w:eastAsia="仿宋" w:cs="仿宋"/>
          <w:b w:val="0"/>
          <w:bCs w:val="0"/>
          <w:i w:val="0"/>
          <w:iCs w:val="0"/>
          <w:color w:val="auto"/>
          <w:sz w:val="32"/>
          <w:szCs w:val="32"/>
          <w:u w:val="none" w:color="auto"/>
          <w:lang w:eastAsia="zh-CN"/>
        </w:rPr>
        <w:t>被监察单位应当予以配合，不得拒绝监察。</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bCs w:val="0"/>
          <w:i w:val="0"/>
          <w:iCs w:val="0"/>
          <w:color w:val="auto"/>
          <w:sz w:val="32"/>
          <w:szCs w:val="32"/>
          <w:u w:val="none" w:color="auto"/>
          <w:lang w:eastAsia="zh-CN"/>
        </w:rPr>
      </w:pPr>
      <w:r>
        <w:rPr>
          <w:rFonts w:hint="eastAsia" w:ascii="仿宋" w:hAnsi="仿宋" w:eastAsia="仿宋" w:cs="仿宋"/>
          <w:b w:val="0"/>
          <w:bCs w:val="0"/>
          <w:i w:val="0"/>
          <w:iCs w:val="0"/>
          <w:color w:val="auto"/>
          <w:sz w:val="32"/>
          <w:szCs w:val="32"/>
          <w:u w:val="none" w:color="auto"/>
          <w:lang w:eastAsia="zh-CN"/>
        </w:rPr>
        <w:t>节能监察经费列入同级财政预算，节能监察机构不得向被监察单位收取费用。</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第十二条</w:t>
      </w:r>
      <w:r>
        <w:rPr>
          <w:rFonts w:hint="eastAsia" w:ascii="仿宋" w:hAnsi="仿宋" w:eastAsia="仿宋" w:cs="仿宋"/>
          <w:b w:val="0"/>
          <w:i w:val="0"/>
          <w:color w:val="auto"/>
          <w:sz w:val="32"/>
          <w:szCs w:val="32"/>
          <w:u w:val="none" w:color="auto"/>
          <w:lang w:eastAsia="zh-CN"/>
        </w:rPr>
        <w:t>　用能单位应当严格执行有关节能的强制性国家标准、行业标准。需要制定地方节能标准的，由省标准化主管部门会同有关部门依法组织制定，并适时修订。　</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鼓励企业制定严于国家标准、行业标准或者地方标准的企业节能标准。</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第十三条</w:t>
      </w:r>
      <w:r>
        <w:rPr>
          <w:rFonts w:hint="eastAsia" w:ascii="仿宋" w:hAnsi="仿宋" w:eastAsia="仿宋" w:cs="仿宋"/>
          <w:b w:val="0"/>
          <w:i w:val="0"/>
          <w:color w:val="auto"/>
          <w:sz w:val="32"/>
          <w:szCs w:val="32"/>
          <w:u w:val="none" w:color="auto"/>
          <w:lang w:eastAsia="zh-CN"/>
        </w:rPr>
        <w:t>　县级以上人民政府统计部门应当健全能源统计工作体系，完善能源统计制度，加强能源消费和利用状况的统计分析，根据工作需要向节能主管部门及时提供相关统计数据，并会同节能主管部门定期向社会发布能耗公报。</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第十四条</w:t>
      </w:r>
      <w:r>
        <w:rPr>
          <w:rFonts w:hint="eastAsia" w:ascii="仿宋" w:hAnsi="仿宋" w:eastAsia="仿宋" w:cs="仿宋"/>
          <w:b w:val="0"/>
          <w:i w:val="0"/>
          <w:color w:val="auto"/>
          <w:sz w:val="32"/>
          <w:szCs w:val="32"/>
          <w:u w:val="none" w:color="auto"/>
          <w:lang w:eastAsia="zh-CN"/>
        </w:rPr>
        <w:t>　本省实行固定资产投资项目节能审查制度。</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iCs w:val="0"/>
          <w:color w:val="auto"/>
          <w:sz w:val="32"/>
          <w:szCs w:val="32"/>
          <w:u w:val="none" w:color="auto"/>
          <w:lang w:eastAsia="zh-CN"/>
        </w:rPr>
        <w:t>固定资产投资项目</w:t>
      </w:r>
      <w:r>
        <w:rPr>
          <w:rFonts w:hint="eastAsia" w:ascii="仿宋" w:hAnsi="仿宋" w:eastAsia="仿宋" w:cs="仿宋"/>
          <w:b w:val="0"/>
          <w:i w:val="0"/>
          <w:color w:val="auto"/>
          <w:sz w:val="32"/>
          <w:szCs w:val="32"/>
          <w:u w:val="none" w:color="auto"/>
          <w:lang w:eastAsia="zh-CN"/>
        </w:rPr>
        <w:t>应当</w:t>
      </w:r>
      <w:r>
        <w:rPr>
          <w:rFonts w:hint="eastAsia" w:ascii="仿宋" w:hAnsi="仿宋" w:eastAsia="仿宋" w:cs="仿宋"/>
          <w:b w:val="0"/>
          <w:i w:val="0"/>
          <w:iCs w:val="0"/>
          <w:color w:val="auto"/>
          <w:sz w:val="32"/>
          <w:szCs w:val="32"/>
          <w:u w:val="none" w:color="auto"/>
          <w:lang w:eastAsia="zh-CN"/>
        </w:rPr>
        <w:t>编制节能报告，</w:t>
      </w:r>
      <w:r>
        <w:rPr>
          <w:rFonts w:hint="eastAsia" w:ascii="仿宋" w:hAnsi="仿宋" w:eastAsia="仿宋" w:cs="仿宋"/>
          <w:b w:val="0"/>
          <w:i w:val="0"/>
          <w:color w:val="auto"/>
          <w:sz w:val="32"/>
          <w:szCs w:val="32"/>
          <w:u w:val="none" w:color="auto"/>
          <w:lang w:eastAsia="zh-CN"/>
        </w:rPr>
        <w:t>并按照国家有关规定进行固定资产投资项目节能审查，由县级以上人民政府节能主管部门出具节能审查意见。</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iCs w:val="0"/>
          <w:color w:val="auto"/>
          <w:sz w:val="32"/>
          <w:szCs w:val="32"/>
          <w:u w:val="none" w:color="auto"/>
          <w:lang w:val="en-US" w:eastAsia="zh-CN"/>
        </w:rPr>
        <w:t>固定资产投资</w:t>
      </w:r>
      <w:r>
        <w:rPr>
          <w:rFonts w:hint="eastAsia" w:ascii="仿宋" w:hAnsi="仿宋" w:eastAsia="仿宋" w:cs="仿宋"/>
          <w:b w:val="0"/>
          <w:i w:val="0"/>
          <w:color w:val="auto"/>
          <w:sz w:val="32"/>
          <w:szCs w:val="32"/>
          <w:u w:val="none" w:color="auto"/>
          <w:lang w:eastAsia="zh-CN"/>
        </w:rPr>
        <w:t>项目</w:t>
      </w:r>
      <w:r>
        <w:rPr>
          <w:rFonts w:hint="eastAsia" w:ascii="仿宋" w:hAnsi="仿宋" w:eastAsia="仿宋" w:cs="仿宋"/>
          <w:b w:val="0"/>
          <w:i w:val="0"/>
          <w:iCs w:val="0"/>
          <w:color w:val="auto"/>
          <w:sz w:val="32"/>
          <w:szCs w:val="32"/>
          <w:u w:val="none" w:color="auto"/>
          <w:lang w:val="en-US" w:eastAsia="zh-CN"/>
        </w:rPr>
        <w:t>未按规定进行节能审查或者审查未获通过的</w:t>
      </w:r>
      <w:r>
        <w:rPr>
          <w:rFonts w:hint="eastAsia" w:ascii="仿宋" w:hAnsi="仿宋" w:eastAsia="仿宋" w:cs="仿宋"/>
          <w:b w:val="0"/>
          <w:i w:val="0"/>
          <w:iCs w:val="0"/>
          <w:color w:val="auto"/>
          <w:sz w:val="32"/>
          <w:szCs w:val="32"/>
          <w:u w:val="none" w:color="auto"/>
          <w:lang w:eastAsia="zh-CN"/>
        </w:rPr>
        <w:t>，</w:t>
      </w:r>
      <w:r>
        <w:rPr>
          <w:rFonts w:hint="eastAsia" w:ascii="仿宋" w:hAnsi="仿宋" w:eastAsia="仿宋" w:cs="仿宋"/>
          <w:b w:val="0"/>
          <w:i w:val="0"/>
          <w:color w:val="auto"/>
          <w:sz w:val="32"/>
          <w:szCs w:val="32"/>
          <w:u w:val="none" w:color="auto"/>
          <w:lang w:eastAsia="zh-CN"/>
        </w:rPr>
        <w:t>建设单位不得开工建设，已经建成的，不得投入生产、使用；属于政府投资项目的，依法负责审批的机关不得批准建设。</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第十五条</w:t>
      </w:r>
      <w:r>
        <w:rPr>
          <w:rFonts w:hint="eastAsia" w:ascii="仿宋" w:hAnsi="仿宋" w:eastAsia="仿宋" w:cs="仿宋"/>
          <w:b w:val="0"/>
          <w:i w:val="0"/>
          <w:color w:val="auto"/>
          <w:sz w:val="32"/>
          <w:szCs w:val="32"/>
          <w:u w:val="none" w:color="auto"/>
          <w:lang w:eastAsia="zh-CN"/>
        </w:rPr>
        <w:t>　县级以上人民政府应当严格控制煤炭消费总量，制定煤炭消费总量削减计划，完成年度煤炭消费总量削减目标。</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新增煤炭消费的固定资产投资项目，应当进行煤炭消费等（减）量替代，在项目审批、核准、备案前编制煤炭消费等（减）量替代方案，报节能主管部门进行审查。</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bdr w:val="single" w:color="auto" w:sz="4" w:space="0"/>
          <w:lang w:eastAsia="zh-CN"/>
        </w:rPr>
      </w:pPr>
      <w:r>
        <w:rPr>
          <w:rFonts w:hint="eastAsia" w:ascii="黑体" w:hAnsi="黑体" w:eastAsia="黑体" w:cs="黑体"/>
          <w:b w:val="0"/>
          <w:i w:val="0"/>
          <w:color w:val="auto"/>
          <w:sz w:val="32"/>
          <w:szCs w:val="32"/>
          <w:u w:val="none" w:color="auto"/>
          <w:lang w:eastAsia="zh-CN"/>
        </w:rPr>
        <w:t>第十六条</w:t>
      </w:r>
      <w:r>
        <w:rPr>
          <w:rFonts w:hint="eastAsia" w:ascii="仿宋" w:hAnsi="仿宋" w:eastAsia="仿宋" w:cs="仿宋"/>
          <w:b w:val="0"/>
          <w:i w:val="0"/>
          <w:color w:val="auto"/>
          <w:sz w:val="32"/>
          <w:szCs w:val="32"/>
          <w:u w:val="none" w:color="auto"/>
          <w:lang w:eastAsia="zh-CN"/>
        </w:rPr>
        <w:t>　县级以上人民政府节能主管部门和有关部门应当建立健全节能服务体系，鼓励、支持高等学校、科研机构、社会组织和有条件的企业事业单位等节能服务机构，依法开展节能咨询、设计、评估、检测、认证、能源审计、成果转化、技术转移服务、节能技术培训，提供节能信息、节能示范和其他公益性节能服务。</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val="en-US" w:eastAsia="zh-CN"/>
        </w:rPr>
      </w:pPr>
      <w:r>
        <w:rPr>
          <w:rFonts w:hint="eastAsia" w:ascii="黑体" w:hAnsi="黑体" w:eastAsia="黑体" w:cs="黑体"/>
          <w:b w:val="0"/>
          <w:i w:val="0"/>
          <w:color w:val="auto"/>
          <w:sz w:val="32"/>
          <w:szCs w:val="32"/>
          <w:u w:val="none" w:color="auto"/>
          <w:lang w:eastAsia="zh-CN"/>
        </w:rPr>
        <w:t>第</w:t>
      </w:r>
      <w:r>
        <w:rPr>
          <w:rFonts w:hint="eastAsia" w:ascii="黑体" w:hAnsi="黑体" w:eastAsia="黑体" w:cs="黑体"/>
          <w:b w:val="0"/>
          <w:i w:val="0"/>
          <w:color w:val="auto"/>
          <w:sz w:val="32"/>
          <w:szCs w:val="32"/>
          <w:u w:val="none" w:color="auto"/>
          <w:lang w:val="en-US" w:eastAsia="zh-CN"/>
        </w:rPr>
        <w:t xml:space="preserve">十七条  </w:t>
      </w:r>
      <w:r>
        <w:rPr>
          <w:rFonts w:hint="eastAsia" w:ascii="仿宋" w:hAnsi="仿宋" w:eastAsia="仿宋" w:cs="仿宋"/>
          <w:b w:val="0"/>
          <w:i w:val="0"/>
          <w:color w:val="auto"/>
          <w:sz w:val="32"/>
          <w:szCs w:val="32"/>
          <w:u w:val="none" w:color="auto"/>
          <w:lang w:val="en-US" w:eastAsia="zh-CN"/>
        </w:rPr>
        <w:t>县级以上人民政府节能主管部门应当建立</w:t>
      </w:r>
      <w:r>
        <w:rPr>
          <w:rFonts w:hint="eastAsia" w:ascii="仿宋" w:hAnsi="仿宋" w:eastAsia="仿宋" w:cs="仿宋"/>
          <w:b w:val="0"/>
          <w:i w:val="0"/>
          <w:color w:val="auto"/>
          <w:sz w:val="32"/>
          <w:szCs w:val="32"/>
          <w:u w:val="none" w:color="auto"/>
          <w:lang w:eastAsia="zh-CN"/>
        </w:rPr>
        <w:t>失信不良记录制度，对用能单位和节能服务机构失信行为进行认定和记录，并纳入公共信用信息共享平台。</w:t>
      </w:r>
    </w:p>
    <w:p>
      <w:pPr>
        <w:pStyle w:val="5"/>
        <w:keepNext w:val="0"/>
        <w:keepLines w:val="0"/>
        <w:pageBreakBefore w:val="0"/>
        <w:widowControl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 w:hAnsi="仿宋" w:eastAsia="仿宋" w:cs="仿宋"/>
          <w:b w:val="0"/>
          <w:i w:val="0"/>
          <w:color w:val="auto"/>
          <w:kern w:val="2"/>
          <w:sz w:val="32"/>
          <w:szCs w:val="32"/>
          <w:u w:val="none" w:color="auto"/>
          <w:lang w:val="en-US" w:eastAsia="zh-CN" w:bidi="ar-SA"/>
        </w:rPr>
      </w:pPr>
      <w:r>
        <w:rPr>
          <w:rFonts w:hint="eastAsia" w:ascii="仿宋" w:hAnsi="仿宋" w:eastAsia="仿宋" w:cs="仿宋"/>
          <w:b w:val="0"/>
          <w:i w:val="0"/>
          <w:color w:val="auto"/>
          <w:kern w:val="2"/>
          <w:sz w:val="32"/>
          <w:szCs w:val="32"/>
          <w:u w:val="none" w:color="auto"/>
          <w:lang w:val="en-US" w:eastAsia="zh-CN" w:bidi="ar-SA"/>
        </w:rPr>
        <w:t xml:space="preserve">      当事人对被列入不良记录名单有异议的，有权依法提起行政复议或者行政诉讼。</w:t>
      </w:r>
    </w:p>
    <w:p>
      <w:pPr>
        <w:pStyle w:val="5"/>
        <w:keepNext w:val="0"/>
        <w:keepLines w:val="0"/>
        <w:pageBreakBefore w:val="0"/>
        <w:widowControl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 w:hAnsi="仿宋" w:eastAsia="仿宋" w:cs="仿宋"/>
          <w:b w:val="0"/>
          <w:i w:val="0"/>
          <w:color w:val="auto"/>
          <w:sz w:val="32"/>
          <w:szCs w:val="32"/>
          <w:u w:val="none" w:color="auto"/>
          <w:bdr w:val="single" w:color="auto" w:sz="4" w:space="0"/>
          <w:lang w:eastAsia="zh-CN"/>
        </w:rPr>
      </w:pPr>
      <w:r>
        <w:rPr>
          <w:rFonts w:hint="eastAsia" w:ascii="仿宋" w:hAnsi="仿宋" w:eastAsia="仿宋" w:cs="仿宋"/>
          <w:b w:val="0"/>
          <w:i w:val="0"/>
          <w:color w:val="auto"/>
          <w:kern w:val="2"/>
          <w:sz w:val="32"/>
          <w:szCs w:val="32"/>
          <w:u w:val="none" w:color="auto"/>
          <w:lang w:val="en-US" w:eastAsia="zh-CN" w:bidi="ar-SA"/>
        </w:rPr>
        <w:t>      当事人对失信行为作出实质性改正且期间未新增失信行为，经县级以上人民政府节能主管部门认定合格，应当将其从不良记录名单中删除。</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val="en-US" w:eastAsia="zh-CN"/>
        </w:rPr>
      </w:pPr>
      <w:r>
        <w:rPr>
          <w:rFonts w:hint="eastAsia" w:ascii="黑体" w:hAnsi="黑体" w:eastAsia="黑体" w:cs="黑体"/>
          <w:b w:val="0"/>
          <w:i w:val="0"/>
          <w:color w:val="auto"/>
          <w:sz w:val="32"/>
          <w:szCs w:val="32"/>
          <w:u w:val="none" w:color="auto"/>
          <w:lang w:eastAsia="zh-CN"/>
        </w:rPr>
        <w:t>第</w:t>
      </w:r>
      <w:r>
        <w:rPr>
          <w:rFonts w:hint="eastAsia" w:ascii="黑体" w:hAnsi="黑体" w:eastAsia="黑体" w:cs="黑体"/>
          <w:b w:val="0"/>
          <w:i w:val="0"/>
          <w:color w:val="auto"/>
          <w:sz w:val="32"/>
          <w:szCs w:val="32"/>
          <w:u w:val="none" w:color="auto"/>
          <w:lang w:val="en-US" w:eastAsia="zh-CN"/>
        </w:rPr>
        <w:t xml:space="preserve">十八条  </w:t>
      </w:r>
      <w:r>
        <w:rPr>
          <w:rFonts w:hint="eastAsia" w:ascii="仿宋" w:hAnsi="仿宋" w:eastAsia="仿宋" w:cs="仿宋"/>
          <w:b w:val="0"/>
          <w:i w:val="0"/>
          <w:color w:val="auto"/>
          <w:sz w:val="32"/>
          <w:szCs w:val="32"/>
          <w:u w:val="none" w:color="auto"/>
          <w:lang w:val="en-US" w:eastAsia="zh-CN"/>
        </w:rPr>
        <w:t>县级以上人民政府及其有关部门应当鼓励和支持行业协会在行业节能规划、节能标准的制定和实施、节能技术推广、能源消费统计、节能宣传培训和信息咨询等方面发挥作用。</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第十九条</w:t>
      </w:r>
      <w:r>
        <w:rPr>
          <w:rFonts w:hint="eastAsia" w:ascii="仿宋" w:hAnsi="仿宋" w:eastAsia="仿宋" w:cs="仿宋"/>
          <w:b w:val="0"/>
          <w:i w:val="0"/>
          <w:color w:val="auto"/>
          <w:sz w:val="32"/>
          <w:szCs w:val="32"/>
          <w:u w:val="none" w:color="auto"/>
          <w:lang w:eastAsia="zh-CN"/>
        </w:rPr>
        <w:t>　省、设区的市人民政府节能主管部门和有关部门应当推动节能管理信息化建设，建立信息服务平台，及时公布节能标准、节能政策，定期发布节能新产品、新技术等信息，为社会提供节能指导和服务。</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第三章　用能与节约</w:t>
      </w:r>
    </w:p>
    <w:p>
      <w:pPr>
        <w:keepNext w:val="0"/>
        <w:keepLines w:val="0"/>
        <w:pageBreakBefore w:val="0"/>
        <w:widowControl w:val="0"/>
        <w:shd w:val="solid" w:color="FFFFFF" w:fill="auto"/>
        <w:kinsoku/>
        <w:wordWrap/>
        <w:overflowPunct/>
        <w:topLinePunct w:val="0"/>
        <w:autoSpaceDE/>
        <w:autoSpaceDN w:val="0"/>
        <w:bidi w:val="0"/>
        <w:spacing w:line="240" w:lineRule="auto"/>
        <w:ind w:left="0" w:leftChars="0" w:right="0" w:rightChars="0" w:firstLine="632" w:firstLineChars="200"/>
        <w:jc w:val="left"/>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val="en-US" w:eastAsia="zh-CN"/>
        </w:rPr>
        <w:t xml:space="preserve">第二十条  </w:t>
      </w:r>
      <w:r>
        <w:rPr>
          <w:rFonts w:hint="eastAsia" w:ascii="仿宋" w:hAnsi="仿宋" w:eastAsia="仿宋" w:cs="仿宋"/>
          <w:b w:val="0"/>
          <w:i w:val="0"/>
          <w:color w:val="auto"/>
          <w:sz w:val="32"/>
          <w:szCs w:val="32"/>
          <w:u w:val="none" w:color="auto"/>
          <w:lang w:eastAsia="zh-CN"/>
        </w:rPr>
        <w:t>用能单位应当加强节能管理，制定并实施节能计划和节能技术措施，建立健全节能目标责任制、奖惩制度、教育和岗位培训制度，优化用能结构，提高能源利用效率，降低能源消耗。</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第二十一条</w:t>
      </w:r>
      <w:r>
        <w:rPr>
          <w:rFonts w:hint="eastAsia" w:ascii="仿宋" w:hAnsi="仿宋" w:eastAsia="仿宋" w:cs="仿宋"/>
          <w:b w:val="0"/>
          <w:i w:val="0"/>
          <w:color w:val="auto"/>
          <w:sz w:val="32"/>
          <w:szCs w:val="32"/>
          <w:u w:val="none" w:color="auto"/>
          <w:lang w:eastAsia="zh-CN"/>
        </w:rPr>
        <w:t>　用能单位应当按照规定和计划配备能源计量器具，建立能源消费统计台账，保存原始记录，确保能源消费统计数据真实、准确、完整。定期对能源利用状况、主要用能设备能耗进行分析，制定改进措施。</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w:t>
      </w:r>
      <w:r>
        <w:rPr>
          <w:rFonts w:hint="eastAsia" w:ascii="黑体" w:hAnsi="黑体" w:eastAsia="黑体" w:cs="黑体"/>
          <w:b w:val="0"/>
          <w:i w:val="0"/>
          <w:color w:val="auto"/>
          <w:sz w:val="32"/>
          <w:szCs w:val="32"/>
          <w:u w:val="none" w:color="auto"/>
          <w:lang w:val="en-US" w:eastAsia="zh-CN"/>
        </w:rPr>
        <w:t xml:space="preserve">二十二条  </w:t>
      </w:r>
      <w:r>
        <w:rPr>
          <w:rFonts w:hint="eastAsia" w:ascii="仿宋" w:hAnsi="仿宋" w:eastAsia="仿宋" w:cs="仿宋"/>
          <w:b w:val="0"/>
          <w:i w:val="0"/>
          <w:color w:val="auto"/>
          <w:sz w:val="32"/>
          <w:szCs w:val="32"/>
          <w:u w:val="none" w:color="auto"/>
          <w:lang w:eastAsia="zh-CN"/>
        </w:rPr>
        <w:t>县级以上人民政府有关部门应当推动工业节能技术改造，实施钢铁、电力、石油加工、化工、煤炭、建材、造纸等主要耗能行业的节能技术改造，限期淘汰落后的用能产品、设备和生产工艺。</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经济技术开发区（园区）、高新技术产业开发区、工业园区应当按照能源高效循环利用的生产模式，编制实施用能规划或者节能方案，开展节能和循环化改造，发展集中供能和能源梯级利用。</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第二十三条</w:t>
      </w:r>
      <w:r>
        <w:rPr>
          <w:rFonts w:hint="eastAsia" w:ascii="仿宋" w:hAnsi="仿宋" w:eastAsia="仿宋" w:cs="仿宋"/>
          <w:b w:val="0"/>
          <w:i w:val="0"/>
          <w:color w:val="auto"/>
          <w:sz w:val="32"/>
          <w:szCs w:val="32"/>
          <w:u w:val="none" w:color="auto"/>
          <w:lang w:eastAsia="zh-CN"/>
        </w:rPr>
        <w:t>　对利用余热余压、城市垃圾、煤层气等发电的机组，符合并网调度条件的，电网企业应当优先并网，并在核定的上网电量内优先购买，上网电量的价格依照国家和本省有关规定确定。</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第二十四条</w:t>
      </w:r>
      <w:r>
        <w:rPr>
          <w:rFonts w:hint="eastAsia" w:ascii="仿宋" w:hAnsi="仿宋" w:eastAsia="仿宋" w:cs="仿宋"/>
          <w:b w:val="0"/>
          <w:i w:val="0"/>
          <w:color w:val="auto"/>
          <w:sz w:val="32"/>
          <w:szCs w:val="32"/>
          <w:u w:val="none" w:color="auto"/>
          <w:lang w:eastAsia="zh-CN"/>
        </w:rPr>
        <w:t>　电网企业应当按照国家节能发电调度管理的有关规定，优先安排利用新能源、可再生能源发电和热电联产、资源综合利用机组发电以及其他节能环保水平先进的机组发电。</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第二十五条</w:t>
      </w:r>
      <w:r>
        <w:rPr>
          <w:rFonts w:hint="eastAsia" w:ascii="仿宋" w:hAnsi="仿宋" w:eastAsia="仿宋" w:cs="仿宋"/>
          <w:b w:val="0"/>
          <w:i w:val="0"/>
          <w:color w:val="auto"/>
          <w:sz w:val="32"/>
          <w:szCs w:val="32"/>
          <w:u w:val="none" w:color="auto"/>
          <w:lang w:eastAsia="zh-CN"/>
        </w:rPr>
        <w:t>　有条件的城镇以及经济技术开发区（园区）、高新技术产业开发区应当实行集中供热。鼓励采用热电冷联产、多能互补、能源梯级利用、分布式能源、能源互联网等技术，提高热能综合利用率。</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在已经实行集中供热的区域内，不得新建分散式燃煤供热设施；对已经建成的分散式燃煤供热设施，应当依法限期拆除，并将供热系统接入集中供热管网。</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第二十六条</w:t>
      </w:r>
      <w:r>
        <w:rPr>
          <w:rFonts w:hint="eastAsia" w:ascii="仿宋" w:hAnsi="仿宋" w:eastAsia="仿宋" w:cs="仿宋"/>
          <w:b w:val="0"/>
          <w:i w:val="0"/>
          <w:color w:val="auto"/>
          <w:sz w:val="32"/>
          <w:szCs w:val="32"/>
          <w:u w:val="none" w:color="auto"/>
          <w:lang w:eastAsia="zh-CN"/>
        </w:rPr>
        <w:t>　县级以上人民政府应当制定措施，鼓励、支持利用工业余热向居民供暖。县级以上人民政府住房城乡建设主管部门应当将工业余热纳入供热专项规划，制定热源热网等供热工程建设方案应当优先选用工业余热，并同步制定供热应急预案。</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第二十七条</w:t>
      </w:r>
      <w:r>
        <w:rPr>
          <w:rFonts w:hint="eastAsia" w:ascii="仿宋" w:hAnsi="仿宋" w:eastAsia="仿宋" w:cs="仿宋"/>
          <w:b w:val="0"/>
          <w:i w:val="0"/>
          <w:color w:val="auto"/>
          <w:sz w:val="32"/>
          <w:szCs w:val="32"/>
          <w:u w:val="none" w:color="auto"/>
          <w:lang w:val="en-US" w:eastAsia="zh-CN"/>
        </w:rPr>
        <w:t xml:space="preserve">  </w:t>
      </w:r>
      <w:r>
        <w:rPr>
          <w:rFonts w:hint="eastAsia" w:ascii="仿宋" w:hAnsi="仿宋" w:eastAsia="仿宋" w:cs="仿宋"/>
          <w:b w:val="0"/>
          <w:i w:val="0"/>
          <w:color w:val="auto"/>
          <w:sz w:val="32"/>
          <w:szCs w:val="32"/>
          <w:u w:val="none" w:color="auto"/>
          <w:lang w:eastAsia="zh-CN"/>
        </w:rPr>
        <w:t>县级以上人民政府住房城乡建设主管部门应当逐步提高建筑节能标准，鼓励采用新型节能建筑材料和建筑技术，推行可再生能源与建筑一体化，加快既有建筑节能改造，降低建筑全寿命周期的能耗。</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县级以上人民政府住房城乡建设主管部门应当在农村推广节能建筑，引导农村个人自建自用住宅按照农村建筑节能相关标准进行设计和建造。</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iCs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第二十八条</w:t>
      </w:r>
      <w:r>
        <w:rPr>
          <w:rFonts w:hint="eastAsia" w:ascii="仿宋" w:hAnsi="仿宋" w:eastAsia="仿宋" w:cs="仿宋"/>
          <w:b w:val="0"/>
          <w:i w:val="0"/>
          <w:color w:val="auto"/>
          <w:sz w:val="32"/>
          <w:szCs w:val="32"/>
          <w:u w:val="none" w:color="auto"/>
          <w:lang w:eastAsia="zh-CN"/>
        </w:rPr>
        <w:t>　使用财政性资金或者以财政性资金为主的机关办公建筑、公益性建筑、保障性住房以及单体建筑面积超过两万平方米的大型公共建筑，应当执行绿色建筑标准。</w:t>
      </w:r>
      <w:r>
        <w:rPr>
          <w:rFonts w:hint="eastAsia" w:ascii="仿宋" w:hAnsi="仿宋" w:eastAsia="仿宋" w:cs="仿宋"/>
          <w:b w:val="0"/>
          <w:i w:val="0"/>
          <w:iCs w:val="0"/>
          <w:color w:val="auto"/>
          <w:sz w:val="32"/>
          <w:szCs w:val="32"/>
          <w:u w:val="none" w:color="auto"/>
          <w:lang w:eastAsia="zh-CN"/>
        </w:rPr>
        <w:t>鼓励其他新建建筑执行绿色建筑标准、既有建筑按照绿色建筑标准进行改造。</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第二十九条</w:t>
      </w:r>
      <w:r>
        <w:rPr>
          <w:rFonts w:hint="eastAsia" w:ascii="仿宋" w:hAnsi="仿宋" w:eastAsia="仿宋" w:cs="仿宋"/>
          <w:b w:val="0"/>
          <w:i w:val="0"/>
          <w:color w:val="auto"/>
          <w:sz w:val="32"/>
          <w:szCs w:val="32"/>
          <w:u w:val="none" w:color="auto"/>
          <w:lang w:eastAsia="zh-CN"/>
        </w:rPr>
        <w:t>　道路、隧道、广场、公园、公共绿地等公共场所的照明，应当严格遵循照明设计标准规范；已建设施不符合照明设计标准规范的，应当进行节能改造。</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县级以上人民政府有关部门应当加强节约用电管理，推广使用节能照明产品，优化节能控制技术，严格控制公共场所以及大型建筑物的装饰性景观照明能耗。</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第三十条</w:t>
      </w:r>
      <w:r>
        <w:rPr>
          <w:rFonts w:hint="eastAsia" w:ascii="仿宋" w:hAnsi="仿宋" w:eastAsia="仿宋" w:cs="仿宋"/>
          <w:b w:val="0"/>
          <w:i w:val="0"/>
          <w:color w:val="auto"/>
          <w:sz w:val="32"/>
          <w:szCs w:val="32"/>
          <w:u w:val="none" w:color="auto"/>
          <w:lang w:eastAsia="zh-CN"/>
        </w:rPr>
        <w:t>　县级以上人民政府交通运输主管部门应当推进节能型综合交通运输体系建设，优先发展公共交通，完善公共交通网络和服务体系。公共交通等公共服务行业应当优先采购、使用节能和新能源交通工具。</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第三十一条</w:t>
      </w:r>
      <w:r>
        <w:rPr>
          <w:rFonts w:hint="eastAsia" w:ascii="黑体" w:hAnsi="黑体" w:eastAsia="黑体" w:cs="黑体"/>
          <w:b w:val="0"/>
          <w:i w:val="0"/>
          <w:color w:val="auto"/>
          <w:sz w:val="32"/>
          <w:szCs w:val="32"/>
          <w:u w:val="none" w:color="auto"/>
          <w:lang w:val="en-US" w:eastAsia="zh-CN"/>
        </w:rPr>
        <w:t xml:space="preserve">  </w:t>
      </w:r>
      <w:r>
        <w:rPr>
          <w:rFonts w:hint="eastAsia" w:ascii="仿宋" w:hAnsi="仿宋" w:eastAsia="仿宋" w:cs="仿宋"/>
          <w:b w:val="0"/>
          <w:i w:val="0"/>
          <w:color w:val="auto"/>
          <w:sz w:val="32"/>
          <w:szCs w:val="32"/>
          <w:u w:val="none" w:color="auto"/>
          <w:lang w:eastAsia="zh-CN"/>
        </w:rPr>
        <w:t>县级以上人民政府及其有关部门应当根据实际需要设置公交专用道和非机动车道，加强公共充电桩、公共自行车等设施建设。鼓励公众采用公共交通、非机动交通、步行等绿色低碳的方式出行。</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黑体" w:hAnsi="黑体" w:eastAsia="黑体" w:cs="黑体"/>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第三十二条</w:t>
      </w:r>
      <w:r>
        <w:rPr>
          <w:rFonts w:hint="eastAsia" w:ascii="仿宋" w:hAnsi="仿宋" w:eastAsia="仿宋" w:cs="仿宋"/>
          <w:b w:val="0"/>
          <w:i w:val="0"/>
          <w:color w:val="auto"/>
          <w:sz w:val="32"/>
          <w:szCs w:val="32"/>
          <w:u w:val="none" w:color="auto"/>
          <w:lang w:eastAsia="zh-CN"/>
        </w:rPr>
        <w:t>　鼓励港口建设和使用岸电设备，为靠港船舶和码头设施的货物装卸、航道清淤、照明厨炊等生产生活提供电力。</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第三十三条</w:t>
      </w:r>
      <w:r>
        <w:rPr>
          <w:rFonts w:hint="eastAsia" w:ascii="仿宋" w:hAnsi="仿宋" w:eastAsia="仿宋" w:cs="仿宋"/>
          <w:b w:val="0"/>
          <w:i w:val="0"/>
          <w:color w:val="auto"/>
          <w:sz w:val="32"/>
          <w:szCs w:val="32"/>
          <w:u w:val="none" w:color="auto"/>
          <w:lang w:eastAsia="zh-CN"/>
        </w:rPr>
        <w:t>　公共机构应当科学决策，厉行节约，杜绝浪费，带头使用节能产品、设备，提高能源利用效率，发挥表率作用。</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公共机构应当按照国家和本省有关规定实行能耗定额管理制度，实施能源消费统计、能源审计、能效公示，优先采用合同能源管理方式对既有办公建筑进行节能改造，优先采购列入政府采购名录中的节能环保产品和设备，优先采购、使用节能和新能源交通工具</w:t>
      </w:r>
      <w:r>
        <w:rPr>
          <w:rFonts w:hint="eastAsia" w:ascii="仿宋" w:hAnsi="仿宋" w:eastAsia="仿宋" w:cs="仿宋"/>
          <w:b w:val="0"/>
          <w:i w:val="0"/>
          <w:color w:val="auto"/>
          <w:sz w:val="32"/>
          <w:szCs w:val="32"/>
          <w:u w:val="none" w:color="auto"/>
          <w:lang w:val="en-US" w:eastAsia="zh-CN"/>
        </w:rPr>
        <w:t>，禁止采购、使用国家明令淘汰的用能产品和设备</w:t>
      </w:r>
      <w:r>
        <w:rPr>
          <w:rFonts w:hint="eastAsia" w:ascii="仿宋" w:hAnsi="仿宋" w:eastAsia="仿宋" w:cs="仿宋"/>
          <w:b w:val="0"/>
          <w:i w:val="0"/>
          <w:color w:val="auto"/>
          <w:sz w:val="32"/>
          <w:szCs w:val="32"/>
          <w:u w:val="none" w:color="auto"/>
          <w:lang w:eastAsia="zh-CN"/>
        </w:rPr>
        <w:t>。</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第三十四条</w:t>
      </w:r>
      <w:r>
        <w:rPr>
          <w:rFonts w:hint="eastAsia" w:ascii="仿宋" w:hAnsi="仿宋" w:eastAsia="仿宋" w:cs="仿宋"/>
          <w:b w:val="0"/>
          <w:i w:val="0"/>
          <w:color w:val="auto"/>
          <w:sz w:val="32"/>
          <w:szCs w:val="32"/>
          <w:u w:val="none" w:color="auto"/>
          <w:lang w:eastAsia="zh-CN"/>
        </w:rPr>
        <w:t>　县级以上人民政府农业主管部门应当在农村推广太阳能、生物质能等清洁可再生能源，提高秸秆能源化利用率；提倡节约高效用能，更新和淘汰高耗能农业机械、设备设施，推动农业清洁生产。</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val="en-US" w:eastAsia="zh-CN"/>
        </w:rPr>
        <w:t xml:space="preserve">    </w:t>
      </w:r>
      <w:r>
        <w:rPr>
          <w:rFonts w:hint="eastAsia" w:ascii="黑体" w:hAnsi="黑体" w:eastAsia="黑体" w:cs="黑体"/>
          <w:b w:val="0"/>
          <w:i w:val="0"/>
          <w:color w:val="auto"/>
          <w:sz w:val="32"/>
          <w:szCs w:val="32"/>
          <w:u w:val="none" w:color="auto"/>
          <w:lang w:eastAsia="zh-CN"/>
        </w:rPr>
        <w:t>第三十五条</w:t>
      </w:r>
      <w:r>
        <w:rPr>
          <w:rFonts w:hint="eastAsia" w:ascii="仿宋" w:hAnsi="仿宋" w:eastAsia="仿宋" w:cs="仿宋"/>
          <w:b w:val="0"/>
          <w:i w:val="0"/>
          <w:color w:val="auto"/>
          <w:sz w:val="32"/>
          <w:szCs w:val="32"/>
          <w:u w:val="none" w:color="auto"/>
          <w:lang w:eastAsia="zh-CN"/>
        </w:rPr>
        <w:t>　本省实行重点用能单位节能管理制度。年综合能源消费总量五千吨标准煤以上的用能单位为省重点用能单位。</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设区的市人民政府节能主管部门可以根据本地实际确定本行政区域内的重点用能单位。</w:t>
      </w:r>
    </w:p>
    <w:p>
      <w:pPr>
        <w:keepNext w:val="0"/>
        <w:keepLines w:val="0"/>
        <w:pageBreakBefore w:val="0"/>
        <w:widowControl w:val="0"/>
        <w:kinsoku/>
        <w:wordWrap/>
        <w:overflowPunct/>
        <w:topLinePunct w:val="0"/>
        <w:autoSpaceDE/>
        <w:autoSpaceDN w:val="0"/>
        <w:bidi w:val="0"/>
        <w:spacing w:line="240" w:lineRule="auto"/>
        <w:ind w:left="0" w:leftChars="0" w:right="0" w:rightChars="0" w:firstLine="665"/>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第三十六条</w:t>
      </w:r>
      <w:r>
        <w:rPr>
          <w:rFonts w:hint="eastAsia" w:ascii="仿宋" w:hAnsi="仿宋" w:eastAsia="仿宋" w:cs="仿宋"/>
          <w:b w:val="0"/>
          <w:i w:val="0"/>
          <w:color w:val="auto"/>
          <w:sz w:val="32"/>
          <w:szCs w:val="32"/>
          <w:u w:val="none" w:color="auto"/>
          <w:lang w:eastAsia="zh-CN"/>
        </w:rPr>
        <w:t>　重点用能单位应当建立能源消费总量和单位产品综合能耗控制目标责任制，制定并实施节能计划，完成节能目标。</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val="en-US" w:eastAsia="zh-CN"/>
        </w:rPr>
        <w:t xml:space="preserve">    </w:t>
      </w:r>
      <w:r>
        <w:rPr>
          <w:rFonts w:hint="eastAsia" w:ascii="黑体" w:hAnsi="黑体" w:eastAsia="黑体" w:cs="黑体"/>
          <w:b w:val="0"/>
          <w:i w:val="0"/>
          <w:color w:val="auto"/>
          <w:sz w:val="32"/>
          <w:szCs w:val="32"/>
          <w:u w:val="none" w:color="auto"/>
          <w:lang w:eastAsia="zh-CN"/>
        </w:rPr>
        <w:t>第三十七条</w:t>
      </w:r>
      <w:r>
        <w:rPr>
          <w:rFonts w:hint="eastAsia" w:ascii="仿宋" w:hAnsi="仿宋" w:eastAsia="仿宋" w:cs="仿宋"/>
          <w:b w:val="0"/>
          <w:i w:val="0"/>
          <w:color w:val="auto"/>
          <w:sz w:val="32"/>
          <w:szCs w:val="32"/>
          <w:u w:val="none" w:color="auto"/>
          <w:lang w:eastAsia="zh-CN"/>
        </w:rPr>
        <w:t>　高耗能行业的重点用能单位应当开展能效水平对标活动，采用能量系统优化、锅炉窑炉改造、电机系统节能、余热余压利用等节能新工艺、新技术，实施节能技术改造，降低单位产品综合能耗。</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第三十八条</w:t>
      </w:r>
      <w:r>
        <w:rPr>
          <w:rFonts w:hint="eastAsia" w:ascii="仿宋" w:hAnsi="仿宋" w:eastAsia="仿宋" w:cs="仿宋"/>
          <w:b w:val="0"/>
          <w:i w:val="0"/>
          <w:color w:val="auto"/>
          <w:sz w:val="32"/>
          <w:szCs w:val="32"/>
          <w:u w:val="none" w:color="auto"/>
          <w:lang w:eastAsia="zh-CN"/>
        </w:rPr>
        <w:t>　重点用能单位应当设立能源管理岗位，依法配备管理人员，并报节能主管部门备案。</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第三十九条</w:t>
      </w:r>
      <w:r>
        <w:rPr>
          <w:rFonts w:hint="eastAsia" w:ascii="仿宋" w:hAnsi="仿宋" w:eastAsia="仿宋" w:cs="仿宋"/>
          <w:b w:val="0"/>
          <w:i w:val="0"/>
          <w:color w:val="auto"/>
          <w:sz w:val="32"/>
          <w:szCs w:val="32"/>
          <w:u w:val="none" w:color="auto"/>
          <w:lang w:eastAsia="zh-CN"/>
        </w:rPr>
        <w:t>　重点用能单位应当完善能源管理体系，逐步建立能源管理中心和能耗在线监测终端系统，并与省、设区的市能源监控平台联网。</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本省鼓励和支持重点用能单位开展能源管理体系认证。</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第四十条</w:t>
      </w:r>
      <w:r>
        <w:rPr>
          <w:rFonts w:hint="eastAsia" w:ascii="仿宋" w:hAnsi="仿宋" w:eastAsia="仿宋" w:cs="仿宋"/>
          <w:b w:val="0"/>
          <w:i w:val="0"/>
          <w:color w:val="auto"/>
          <w:sz w:val="32"/>
          <w:szCs w:val="32"/>
          <w:u w:val="none" w:color="auto"/>
          <w:lang w:eastAsia="zh-CN"/>
        </w:rPr>
        <w:t>　重点用能单位应当按照国家和本省规定的标准和程序，开展能源审计工作。能源审计至少每五年进行一次，并按照权限向节能主管部门报送能源审计报告。通过能源管理体系认证的重点用能单位可不再进行能源审计。</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val="en-US" w:eastAsia="zh-CN"/>
        </w:rPr>
        <w:t xml:space="preserve">    </w:t>
      </w:r>
      <w:r>
        <w:rPr>
          <w:rFonts w:hint="eastAsia" w:ascii="黑体" w:hAnsi="黑体" w:eastAsia="黑体" w:cs="黑体"/>
          <w:b w:val="0"/>
          <w:i w:val="0"/>
          <w:color w:val="auto"/>
          <w:sz w:val="32"/>
          <w:szCs w:val="32"/>
          <w:u w:val="none" w:color="auto"/>
          <w:lang w:eastAsia="zh-CN"/>
        </w:rPr>
        <w:t>第四十一条</w:t>
      </w:r>
      <w:r>
        <w:rPr>
          <w:rFonts w:hint="eastAsia" w:ascii="仿宋" w:hAnsi="仿宋" w:eastAsia="仿宋" w:cs="仿宋"/>
          <w:b w:val="0"/>
          <w:i w:val="0"/>
          <w:color w:val="auto"/>
          <w:sz w:val="32"/>
          <w:szCs w:val="32"/>
          <w:u w:val="none" w:color="auto"/>
          <w:lang w:eastAsia="zh-CN"/>
        </w:rPr>
        <w:t>　重点用能单位应当按照国家和本省有关规定，定期将年度能源利用状况报告报送节能主管部门。</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bdr w:val="single" w:color="auto" w:sz="4" w:space="0"/>
          <w:lang w:eastAsia="zh-CN"/>
        </w:rPr>
      </w:pPr>
      <w:r>
        <w:rPr>
          <w:rFonts w:hint="eastAsia" w:ascii="仿宋" w:hAnsi="仿宋" w:eastAsia="仿宋" w:cs="仿宋"/>
          <w:b w:val="0"/>
          <w:i w:val="0"/>
          <w:color w:val="auto"/>
          <w:sz w:val="32"/>
          <w:szCs w:val="32"/>
          <w:u w:val="none" w:color="auto"/>
          <w:lang w:eastAsia="zh-CN"/>
        </w:rPr>
        <w:t>县级以上人民政府节能主管部门应当依法对重点用能单位的能源利用状况报告进行审查。</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第四章　保障与激励</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val="en-US" w:eastAsia="zh-CN"/>
        </w:rPr>
        <w:t xml:space="preserve">    </w:t>
      </w:r>
      <w:r>
        <w:rPr>
          <w:rFonts w:hint="eastAsia" w:ascii="黑体" w:hAnsi="黑体" w:eastAsia="黑体" w:cs="黑体"/>
          <w:b w:val="0"/>
          <w:i w:val="0"/>
          <w:color w:val="auto"/>
          <w:sz w:val="32"/>
          <w:szCs w:val="32"/>
          <w:u w:val="none" w:color="auto"/>
          <w:lang w:eastAsia="zh-CN"/>
        </w:rPr>
        <w:t>第四十二条</w:t>
      </w:r>
      <w:r>
        <w:rPr>
          <w:rFonts w:hint="eastAsia" w:ascii="仿宋" w:hAnsi="仿宋" w:eastAsia="仿宋" w:cs="仿宋"/>
          <w:b w:val="0"/>
          <w:i w:val="0"/>
          <w:color w:val="auto"/>
          <w:sz w:val="32"/>
          <w:szCs w:val="32"/>
          <w:u w:val="none" w:color="auto"/>
          <w:lang w:eastAsia="zh-CN"/>
        </w:rPr>
        <w:t>　县级以上人民政府应当加快调整产业结构，限期淘汰落后产能，化解过剩产能，大力发展低耗能、低排放、高附加值产业；鼓励支持先进高效的节能设备、节能产品产业化和推广应用，提高节能产业比重，发挥节能产业支撑作用。</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bdr w:val="single" w:color="auto" w:sz="4" w:space="0"/>
          <w:lang w:eastAsia="zh-CN"/>
        </w:rPr>
      </w:pPr>
      <w:r>
        <w:rPr>
          <w:rFonts w:hint="eastAsia" w:ascii="黑体" w:hAnsi="黑体" w:eastAsia="黑体" w:cs="黑体"/>
          <w:b w:val="0"/>
          <w:i w:val="0"/>
          <w:color w:val="auto"/>
          <w:sz w:val="32"/>
          <w:szCs w:val="32"/>
          <w:u w:val="none" w:color="auto"/>
          <w:lang w:eastAsia="zh-CN"/>
        </w:rPr>
        <w:t>第四十三条　</w:t>
      </w:r>
      <w:r>
        <w:rPr>
          <w:rFonts w:hint="eastAsia" w:ascii="仿宋" w:hAnsi="仿宋" w:eastAsia="仿宋" w:cs="仿宋"/>
          <w:b w:val="0"/>
          <w:i w:val="0"/>
          <w:color w:val="auto"/>
          <w:sz w:val="32"/>
          <w:szCs w:val="32"/>
          <w:u w:val="none" w:color="auto"/>
          <w:lang w:eastAsia="zh-CN"/>
        </w:rPr>
        <w:t>县级以上人民政府应当支持节能技术应用研究和重点行业共性、关键性节能技术的研究开发，推广能源节约、替代和循环利用的先进适用技术；组织实施重大节能科研项目、节能示范项目和重点节能工程，促进节能技术创新与成果转化。</w:t>
      </w:r>
      <w:r>
        <w:rPr>
          <w:rFonts w:hint="eastAsia" w:ascii="仿宋" w:hAnsi="仿宋" w:eastAsia="仿宋" w:cs="仿宋"/>
          <w:b w:val="0"/>
          <w:i w:val="0"/>
          <w:color w:val="auto"/>
          <w:sz w:val="32"/>
          <w:szCs w:val="32"/>
          <w:u w:val="none" w:color="auto"/>
          <w:bdr w:val="single" w:color="auto" w:sz="4" w:space="0"/>
          <w:lang w:eastAsia="zh-CN"/>
        </w:rPr>
        <w:t>　</w:t>
      </w:r>
    </w:p>
    <w:p>
      <w:pPr>
        <w:keepNext w:val="0"/>
        <w:keepLines w:val="0"/>
        <w:pageBreakBefore w:val="0"/>
        <w:widowControl w:val="0"/>
        <w:kinsoku/>
        <w:wordWrap/>
        <w:overflowPunct/>
        <w:topLinePunct w:val="0"/>
        <w:autoSpaceDE/>
        <w:autoSpaceDN w:val="0"/>
        <w:bidi w:val="0"/>
        <w:spacing w:line="240" w:lineRule="auto"/>
        <w:ind w:left="0" w:leftChars="0" w:right="0" w:rightChars="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val="en-US" w:eastAsia="zh-CN"/>
        </w:rPr>
        <w:t xml:space="preserve">    </w:t>
      </w:r>
      <w:r>
        <w:rPr>
          <w:rFonts w:hint="eastAsia" w:ascii="仿宋" w:hAnsi="仿宋" w:eastAsia="仿宋" w:cs="仿宋"/>
          <w:b w:val="0"/>
          <w:i w:val="0"/>
          <w:color w:val="auto"/>
          <w:sz w:val="32"/>
          <w:szCs w:val="32"/>
          <w:u w:val="none" w:color="auto"/>
          <w:lang w:eastAsia="zh-CN"/>
        </w:rPr>
        <w:t>鼓励科研机构、高等院校等事业单位、社会组织和企业采取多种方式开展国内、国际节能和可再生能源技术与信息交流，引进和开发先进节能技术。</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第四十四条</w:t>
      </w:r>
      <w:r>
        <w:rPr>
          <w:rFonts w:hint="eastAsia" w:ascii="仿宋" w:hAnsi="仿宋" w:eastAsia="仿宋" w:cs="仿宋"/>
          <w:b w:val="0"/>
          <w:i w:val="0"/>
          <w:color w:val="auto"/>
          <w:sz w:val="32"/>
          <w:szCs w:val="32"/>
          <w:u w:val="none" w:color="auto"/>
          <w:lang w:eastAsia="zh-CN"/>
        </w:rPr>
        <w:t>　县级以上人民政府财政主管部门应当每年在财政预算内安排节能专项资金用于节能技术研究开发、节能技术和产品的示范与推广、重点节能工程的实施、节能管理、节能评审、能源审计、节能宣传培训、节能监察机构能力建设、信息服务和奖励等。</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第四十五条</w:t>
      </w:r>
      <w:r>
        <w:rPr>
          <w:rFonts w:hint="eastAsia" w:ascii="仿宋" w:hAnsi="仿宋" w:eastAsia="仿宋" w:cs="仿宋"/>
          <w:b w:val="0"/>
          <w:i w:val="0"/>
          <w:color w:val="auto"/>
          <w:sz w:val="32"/>
          <w:szCs w:val="32"/>
          <w:u w:val="none" w:color="auto"/>
          <w:lang w:eastAsia="zh-CN"/>
        </w:rPr>
        <w:t>　县级以上人民政府及其有关部门对重大节能科研项目、节能示范项目和重点节能工程，应当予以支持，优先列为重点项目，优先安排贴息和资金补助，并依照国家有关规定落实税收减免、固定资产加速折旧等优惠政策。</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县级以上人民政府科技主管部门应当在科技专项资金计划中，优先安排节能新产品、新技术研究开发项目，促进节能技术创新与科技成果转化应用。</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第四十六条</w:t>
      </w:r>
      <w:r>
        <w:rPr>
          <w:rFonts w:hint="eastAsia" w:ascii="仿宋" w:hAnsi="仿宋" w:eastAsia="仿宋" w:cs="仿宋"/>
          <w:b w:val="0"/>
          <w:i w:val="0"/>
          <w:color w:val="auto"/>
          <w:sz w:val="32"/>
          <w:szCs w:val="32"/>
          <w:u w:val="none" w:color="auto"/>
          <w:lang w:eastAsia="zh-CN"/>
        </w:rPr>
        <w:t>　鼓励金融机构为符合条件的节能技术研究开发、节能设备和产品生产、节能技术改造以及合同能源管理等项目优先给予信贷支持，创新信贷产品，简化申请和审批手续，提供多种形式的金融服务。</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县级以上人民政府应当鼓励和引导社会资金加大对节能领域的投入，多方面拓宽融资渠道，支持节能领域符合条件的企业上市融资、挂牌融资、发行债券和资产证券化，促进节能技术改造和节能产业发展。</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第四十七条</w:t>
      </w:r>
      <w:r>
        <w:rPr>
          <w:rFonts w:hint="eastAsia" w:ascii="仿宋" w:hAnsi="仿宋" w:eastAsia="仿宋" w:cs="仿宋"/>
          <w:b w:val="0"/>
          <w:i w:val="0"/>
          <w:color w:val="auto"/>
          <w:sz w:val="32"/>
          <w:szCs w:val="32"/>
          <w:u w:val="none" w:color="auto"/>
          <w:lang w:eastAsia="zh-CN"/>
        </w:rPr>
        <w:t>　重点用能单位应当每年安排一定数额的资金，用于节能技术开发、技术改造和培训等活动。</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第四十八条</w:t>
      </w:r>
      <w:r>
        <w:rPr>
          <w:rFonts w:hint="eastAsia" w:ascii="黑体" w:hAnsi="黑体" w:eastAsia="黑体" w:cs="黑体"/>
          <w:b w:val="0"/>
          <w:i w:val="0"/>
          <w:color w:val="auto"/>
          <w:sz w:val="32"/>
          <w:szCs w:val="32"/>
          <w:u w:val="none" w:color="auto"/>
          <w:lang w:val="en-US" w:eastAsia="zh-CN"/>
        </w:rPr>
        <w:t xml:space="preserve">  </w:t>
      </w:r>
      <w:r>
        <w:rPr>
          <w:rFonts w:hint="eastAsia" w:ascii="仿宋" w:hAnsi="仿宋" w:eastAsia="仿宋" w:cs="仿宋"/>
          <w:b w:val="0"/>
          <w:i w:val="0"/>
          <w:color w:val="auto"/>
          <w:sz w:val="32"/>
          <w:szCs w:val="32"/>
          <w:u w:val="none" w:color="auto"/>
          <w:lang w:eastAsia="zh-CN"/>
        </w:rPr>
        <w:t>本省推行用能权、用煤权等交易制度，逐步建立健全用能权、用煤权核定和交易机制，坚持总量严控、减量出售、超量购买、企业自愿的原则，建立用能权、用煤权交易平台，组织企业依法依规开展交易，推动跨区域交易，提高有限资源的有效利用率。</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val="en-US" w:eastAsia="zh-CN"/>
        </w:rPr>
      </w:pPr>
      <w:r>
        <w:rPr>
          <w:rFonts w:hint="eastAsia" w:ascii="黑体" w:hAnsi="黑体" w:eastAsia="黑体" w:cs="黑体"/>
          <w:b w:val="0"/>
          <w:i w:val="0"/>
          <w:color w:val="auto"/>
          <w:sz w:val="32"/>
          <w:szCs w:val="32"/>
          <w:u w:val="none" w:color="auto"/>
          <w:lang w:val="en-US" w:eastAsia="zh-CN"/>
        </w:rPr>
        <w:t xml:space="preserve">第四十九条  </w:t>
      </w:r>
      <w:r>
        <w:rPr>
          <w:rFonts w:hint="eastAsia" w:ascii="仿宋" w:hAnsi="仿宋" w:eastAsia="仿宋" w:cs="仿宋"/>
          <w:b w:val="0"/>
          <w:i w:val="0"/>
          <w:color w:val="auto"/>
          <w:sz w:val="32"/>
          <w:szCs w:val="32"/>
          <w:u w:val="none" w:color="auto"/>
          <w:lang w:val="en-US" w:eastAsia="zh-CN"/>
        </w:rPr>
        <w:t>本省实行有利于节能的价格政策，引导用能单位和个人节能。实行峰谷分时电价、季节性电价、可中断负荷电价制度，提高用电效率。对能源消耗超过国家和本省能耗限额标准的用能单位，实行惩罚性电价；对主要耗能行业的用能单位，分淘汰、限制、允许和鼓励类实行差别电价。</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黑体" w:hAnsi="黑体" w:eastAsia="黑体" w:cs="黑体"/>
          <w:b w:val="0"/>
          <w:i w:val="0"/>
          <w:color w:val="auto"/>
          <w:sz w:val="32"/>
          <w:szCs w:val="32"/>
          <w:u w:val="none" w:color="auto"/>
          <w:lang w:val="en-US" w:eastAsia="zh-CN"/>
        </w:rPr>
      </w:pPr>
      <w:r>
        <w:rPr>
          <w:rFonts w:hint="eastAsia" w:ascii="仿宋" w:hAnsi="仿宋" w:eastAsia="仿宋" w:cs="仿宋"/>
          <w:b w:val="0"/>
          <w:i w:val="0"/>
          <w:color w:val="auto"/>
          <w:sz w:val="32"/>
          <w:szCs w:val="32"/>
          <w:u w:val="none" w:color="auto"/>
          <w:lang w:val="en-US" w:eastAsia="zh-CN"/>
        </w:rPr>
        <w:t>实行居民用电阶梯电价，引导合理、节约用电。</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val="en-US" w:eastAsia="zh-CN"/>
        </w:rPr>
      </w:pPr>
      <w:r>
        <w:rPr>
          <w:rFonts w:hint="eastAsia" w:ascii="黑体" w:hAnsi="黑体" w:eastAsia="黑体" w:cs="黑体"/>
          <w:b w:val="0"/>
          <w:i w:val="0"/>
          <w:color w:val="auto"/>
          <w:sz w:val="32"/>
          <w:szCs w:val="32"/>
          <w:u w:val="none" w:color="auto"/>
          <w:lang w:val="en-US" w:eastAsia="zh-CN"/>
        </w:rPr>
        <w:t xml:space="preserve">第五十条  </w:t>
      </w:r>
      <w:r>
        <w:rPr>
          <w:rFonts w:hint="eastAsia" w:ascii="仿宋" w:hAnsi="仿宋" w:eastAsia="仿宋" w:cs="仿宋"/>
          <w:b w:val="0"/>
          <w:i w:val="0"/>
          <w:color w:val="auto"/>
          <w:sz w:val="32"/>
          <w:szCs w:val="32"/>
          <w:u w:val="none" w:color="auto"/>
          <w:lang w:val="en-US" w:eastAsia="zh-CN"/>
        </w:rPr>
        <w:t>县级以上人民政府采取措施，引导消费者购买和使用能源效率等级较高或者有节能认证标志的用能产品；鼓励企业进行节能产品认证，取得节能产品认证证书的产品、设备优先列入政府采购目录。</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val="en-US" w:eastAsia="zh-CN"/>
        </w:rPr>
      </w:pPr>
      <w:r>
        <w:rPr>
          <w:rFonts w:hint="eastAsia" w:ascii="黑体" w:hAnsi="黑体" w:eastAsia="黑体" w:cs="黑体"/>
          <w:b w:val="0"/>
          <w:i w:val="0"/>
          <w:color w:val="auto"/>
          <w:sz w:val="32"/>
          <w:szCs w:val="32"/>
          <w:u w:val="none" w:color="auto"/>
          <w:lang w:eastAsia="zh-CN"/>
        </w:rPr>
        <w:t>第五十一条</w:t>
      </w:r>
      <w:r>
        <w:rPr>
          <w:rFonts w:hint="eastAsia" w:ascii="仿宋" w:hAnsi="仿宋" w:eastAsia="仿宋" w:cs="仿宋"/>
          <w:b w:val="0"/>
          <w:i w:val="0"/>
          <w:color w:val="auto"/>
          <w:sz w:val="32"/>
          <w:szCs w:val="32"/>
          <w:u w:val="none" w:color="auto"/>
          <w:lang w:eastAsia="zh-CN"/>
        </w:rPr>
        <w:t>　</w:t>
      </w:r>
      <w:r>
        <w:rPr>
          <w:rFonts w:hint="eastAsia" w:ascii="仿宋" w:hAnsi="仿宋" w:eastAsia="仿宋" w:cs="仿宋"/>
          <w:b w:val="0"/>
          <w:i w:val="0"/>
          <w:color w:val="auto"/>
          <w:sz w:val="32"/>
          <w:szCs w:val="32"/>
          <w:u w:val="none" w:color="auto"/>
          <w:lang w:val="en-US" w:eastAsia="zh-CN"/>
        </w:rPr>
        <w:t>县级以上人民政府</w:t>
      </w:r>
      <w:r>
        <w:rPr>
          <w:rFonts w:hint="eastAsia" w:ascii="仿宋" w:hAnsi="仿宋" w:eastAsia="仿宋" w:cs="仿宋"/>
          <w:b w:val="0"/>
          <w:i w:val="0"/>
          <w:color w:val="auto"/>
          <w:sz w:val="32"/>
          <w:szCs w:val="32"/>
          <w:u w:val="none" w:color="auto"/>
          <w:lang w:eastAsia="zh-CN"/>
        </w:rPr>
        <w:t>鼓励企业利用技术优势和管理经验，组建专业化节能服务机构，推动节能服务机构实现规模化经营；鼓励节能服务机构通过效益分享、能源费用托管、节能量保证、融资租赁等合同能源管理方式为用能单位提供节能诊断、融资、改造等服务，并按照合同约定与用能单位分享节能效益。</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第五十二条</w:t>
      </w:r>
      <w:r>
        <w:rPr>
          <w:rFonts w:hint="eastAsia" w:ascii="仿宋" w:hAnsi="仿宋" w:eastAsia="仿宋" w:cs="仿宋"/>
          <w:b w:val="0"/>
          <w:i w:val="0"/>
          <w:color w:val="auto"/>
          <w:sz w:val="32"/>
          <w:szCs w:val="32"/>
          <w:u w:val="none" w:color="auto"/>
          <w:lang w:eastAsia="zh-CN"/>
        </w:rPr>
        <w:t>　县级以上人民政府对在节能工作中取得显著成绩的单位和个人应当给予表扬和奖励。</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用能单位应当建立节能工作激励机制，根据节能效益对在节能工作中做出显著成绩的集体和个人给予奖励。</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第五章　法律责任</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第五十三条</w:t>
      </w:r>
      <w:r>
        <w:rPr>
          <w:rFonts w:hint="eastAsia" w:ascii="仿宋" w:hAnsi="仿宋" w:eastAsia="仿宋" w:cs="仿宋"/>
          <w:b w:val="0"/>
          <w:i w:val="0"/>
          <w:color w:val="auto"/>
          <w:sz w:val="32"/>
          <w:szCs w:val="32"/>
          <w:u w:val="none" w:color="auto"/>
          <w:lang w:eastAsia="zh-CN"/>
        </w:rPr>
        <w:t>　县级以上人民政府节能主管部门和其他负有节能监督管理、节能监察职责的部门以及机构，有下列行为之一的，由其上级主管部门或者其他有关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（一）未依法履行节能监督检查、节能监察职责或者未依法查处违法违规用能行为的；</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（二）提供虚假节能监察、能源消费总量数据的；</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（三）违反规定向被监察单位收取费用的；</w:t>
      </w:r>
    </w:p>
    <w:p>
      <w:pPr>
        <w:keepNext w:val="0"/>
        <w:keepLines w:val="0"/>
        <w:pageBreakBefore w:val="0"/>
        <w:widowControl w:val="0"/>
        <w:kinsoku/>
        <w:wordWrap/>
        <w:overflowPunct/>
        <w:topLinePunct w:val="0"/>
        <w:autoSpaceDE/>
        <w:autoSpaceDN w:val="0"/>
        <w:bidi w:val="0"/>
        <w:spacing w:line="240" w:lineRule="auto"/>
        <w:ind w:left="0" w:leftChars="0" w:right="0" w:rightChars="0" w:firstLine="632" w:firstLineChars="20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（四）</w:t>
      </w:r>
      <w:r>
        <w:rPr>
          <w:rFonts w:hint="eastAsia" w:ascii="仿宋" w:hAnsi="仿宋" w:eastAsia="仿宋" w:cs="仿宋"/>
          <w:b w:val="0"/>
          <w:i w:val="0"/>
          <w:color w:val="auto"/>
          <w:sz w:val="32"/>
          <w:szCs w:val="32"/>
          <w:u w:val="none" w:color="auto"/>
          <w:lang w:val="en-US" w:eastAsia="zh-CN"/>
        </w:rPr>
        <w:t>对不符合强制性节能标准的政府投资项目予以批准建设的；</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w:t>
      </w:r>
      <w:r>
        <w:rPr>
          <w:rFonts w:hint="eastAsia" w:ascii="仿宋" w:hAnsi="仿宋" w:eastAsia="仿宋" w:cs="仿宋"/>
          <w:b w:val="0"/>
          <w:i w:val="0"/>
          <w:color w:val="auto"/>
          <w:sz w:val="32"/>
          <w:szCs w:val="32"/>
          <w:u w:val="none" w:color="auto"/>
          <w:lang w:val="en-US" w:eastAsia="zh-CN"/>
        </w:rPr>
        <w:t>五</w:t>
      </w:r>
      <w:r>
        <w:rPr>
          <w:rFonts w:hint="eastAsia" w:ascii="仿宋" w:hAnsi="仿宋" w:eastAsia="仿宋" w:cs="仿宋"/>
          <w:b w:val="0"/>
          <w:i w:val="0"/>
          <w:color w:val="auto"/>
          <w:sz w:val="32"/>
          <w:szCs w:val="32"/>
          <w:u w:val="none" w:color="auto"/>
          <w:lang w:eastAsia="zh-CN"/>
        </w:rPr>
        <w:t>）其他滥用职权、玩忽职守、徇私舞弊的。</w:t>
      </w:r>
    </w:p>
    <w:p>
      <w:pPr>
        <w:keepNext w:val="0"/>
        <w:keepLines w:val="0"/>
        <w:pageBreakBefore w:val="0"/>
        <w:widowControl w:val="0"/>
        <w:kinsoku/>
        <w:wordWrap/>
        <w:overflowPunct/>
        <w:topLinePunct w:val="0"/>
        <w:autoSpaceDE/>
        <w:autoSpaceDN w:val="0"/>
        <w:bidi w:val="0"/>
        <w:spacing w:line="240" w:lineRule="auto"/>
        <w:ind w:left="0" w:leftChars="0" w:right="0" w:rightChars="0"/>
        <w:textAlignment w:val="auto"/>
        <w:rPr>
          <w:rFonts w:hint="eastAsia" w:ascii="仿宋" w:hAnsi="仿宋" w:eastAsia="仿宋" w:cs="仿宋"/>
          <w:b w:val="0"/>
          <w:i w:val="0"/>
          <w:color w:val="auto"/>
          <w:sz w:val="32"/>
          <w:szCs w:val="32"/>
          <w:u w:val="none" w:color="auto"/>
          <w:lang w:val="en-US" w:eastAsia="zh-CN"/>
        </w:rPr>
      </w:pPr>
      <w:r>
        <w:rPr>
          <w:rFonts w:hint="eastAsia" w:ascii="黑体" w:hAnsi="黑体" w:eastAsia="黑体" w:cs="黑体"/>
          <w:b w:val="0"/>
          <w:i w:val="0"/>
          <w:color w:val="auto"/>
          <w:sz w:val="32"/>
          <w:szCs w:val="32"/>
          <w:u w:val="none" w:color="auto"/>
          <w:lang w:val="en-US" w:eastAsia="zh-CN"/>
        </w:rPr>
        <w:t xml:space="preserve">    第五十四条  </w:t>
      </w:r>
      <w:r>
        <w:rPr>
          <w:rFonts w:hint="eastAsia" w:ascii="仿宋" w:hAnsi="仿宋" w:eastAsia="仿宋" w:cs="仿宋"/>
          <w:b w:val="0"/>
          <w:i w:val="0"/>
          <w:color w:val="auto"/>
          <w:sz w:val="32"/>
          <w:szCs w:val="32"/>
          <w:u w:val="none" w:color="auto"/>
          <w:lang w:val="en-US" w:eastAsia="zh-CN"/>
        </w:rPr>
        <w:t>违反本条例规定，固定资产投资项目建设单位未按规定进行节能审查或者审查未获通过，擅自开工建设或者擅自投入生产、使用的，由节能主管部门责令停止建设或者停止生产、使用，限期改造；不能改造或者逾期不改造的生产性项目，由节能主管部门报请本级人民政府按国务院规定的权限责令关闭。</w:t>
      </w:r>
    </w:p>
    <w:p>
      <w:pPr>
        <w:keepNext w:val="0"/>
        <w:keepLines w:val="0"/>
        <w:pageBreakBefore w:val="0"/>
        <w:widowControl w:val="0"/>
        <w:kinsoku/>
        <w:wordWrap/>
        <w:overflowPunct/>
        <w:topLinePunct w:val="0"/>
        <w:autoSpaceDE/>
        <w:bidi w:val="0"/>
        <w:spacing w:line="240" w:lineRule="auto"/>
        <w:ind w:left="0" w:leftChars="0" w:right="0" w:rightChars="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color w:val="auto"/>
          <w:sz w:val="32"/>
          <w:szCs w:val="32"/>
          <w:u w:val="none" w:color="auto"/>
          <w:lang w:val="en-US" w:eastAsia="zh-CN"/>
        </w:rPr>
        <w:t xml:space="preserve">   </w:t>
      </w:r>
      <w:r>
        <w:rPr>
          <w:rFonts w:hint="eastAsia" w:ascii="黑体" w:hAnsi="黑体" w:eastAsia="黑体" w:cs="黑体"/>
          <w:color w:val="auto"/>
          <w:sz w:val="32"/>
          <w:szCs w:val="32"/>
          <w:u w:val="none" w:color="auto"/>
          <w:lang w:val="en-US" w:eastAsia="zh-CN"/>
        </w:rPr>
        <w:t xml:space="preserve"> 第五十五条　</w:t>
      </w:r>
      <w:r>
        <w:rPr>
          <w:rFonts w:hint="eastAsia" w:ascii="仿宋" w:hAnsi="仿宋" w:eastAsia="仿宋" w:cs="仿宋"/>
          <w:b w:val="0"/>
          <w:i w:val="0"/>
          <w:color w:val="auto"/>
          <w:sz w:val="32"/>
          <w:szCs w:val="32"/>
          <w:u w:val="none" w:color="auto"/>
          <w:lang w:val="en-US" w:eastAsia="zh-CN"/>
        </w:rPr>
        <w:t>节能服务机构从事节能咨询、设计、评估、检测、审计、认证等活动提供虚假信息的，由节能主管部门责令改正，没收违法所得，并处八万元以上十万元以下罚款。</w:t>
      </w:r>
      <w:r>
        <w:rPr>
          <w:rFonts w:hint="eastAsia" w:ascii="仿宋" w:hAnsi="仿宋" w:eastAsia="仿宋" w:cs="仿宋"/>
          <w:b w:val="0"/>
          <w:i w:val="0"/>
          <w:color w:val="auto"/>
          <w:sz w:val="32"/>
          <w:szCs w:val="32"/>
          <w:u w:val="none" w:color="auto"/>
          <w:lang w:eastAsia="zh-CN"/>
        </w:rPr>
        <w:t>　</w:t>
      </w:r>
    </w:p>
    <w:p>
      <w:pPr>
        <w:keepNext w:val="0"/>
        <w:keepLines w:val="0"/>
        <w:pageBreakBefore w:val="0"/>
        <w:widowControl w:val="0"/>
        <w:kinsoku/>
        <w:wordWrap/>
        <w:overflowPunct/>
        <w:topLinePunct w:val="0"/>
        <w:autoSpaceDE/>
        <w:autoSpaceDN w:val="0"/>
        <w:bidi w:val="0"/>
        <w:spacing w:line="240" w:lineRule="auto"/>
        <w:ind w:left="0" w:leftChars="0" w:right="0" w:rightChars="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val="en-US" w:eastAsia="zh-CN"/>
        </w:rPr>
        <w:t xml:space="preserve">    </w:t>
      </w:r>
      <w:r>
        <w:rPr>
          <w:rFonts w:hint="eastAsia" w:ascii="黑体" w:hAnsi="黑体" w:eastAsia="黑体" w:cs="黑体"/>
          <w:b w:val="0"/>
          <w:i w:val="0"/>
          <w:color w:val="auto"/>
          <w:sz w:val="32"/>
          <w:szCs w:val="32"/>
          <w:u w:val="none" w:color="auto"/>
          <w:lang w:eastAsia="zh-CN"/>
        </w:rPr>
        <w:t>第五十六条</w:t>
      </w:r>
      <w:r>
        <w:rPr>
          <w:rFonts w:hint="eastAsia" w:ascii="仿宋" w:hAnsi="仿宋" w:eastAsia="仿宋" w:cs="仿宋"/>
          <w:b w:val="0"/>
          <w:i w:val="0"/>
          <w:color w:val="auto"/>
          <w:sz w:val="32"/>
          <w:szCs w:val="32"/>
          <w:u w:val="none" w:color="auto"/>
          <w:lang w:eastAsia="zh-CN"/>
        </w:rPr>
        <w:t>　违反本条例规定，电网企业对符合并网调度条件的利用余热余压、城市垃圾、煤层气</w:t>
      </w:r>
      <w:r>
        <w:rPr>
          <w:rFonts w:hint="eastAsia" w:ascii="仿宋" w:hAnsi="仿宋" w:eastAsia="仿宋" w:cs="仿宋"/>
          <w:b w:val="0"/>
          <w:i w:val="0"/>
          <w:color w:val="auto"/>
          <w:sz w:val="32"/>
          <w:szCs w:val="32"/>
          <w:u w:val="none" w:color="auto"/>
          <w:lang w:val="en-US" w:eastAsia="zh-CN"/>
        </w:rPr>
        <w:t>等</w:t>
      </w:r>
      <w:r>
        <w:rPr>
          <w:rFonts w:hint="eastAsia" w:ascii="仿宋" w:hAnsi="仿宋" w:eastAsia="仿宋" w:cs="仿宋"/>
          <w:b w:val="0"/>
          <w:i w:val="0"/>
          <w:color w:val="auto"/>
          <w:sz w:val="32"/>
          <w:szCs w:val="32"/>
          <w:u w:val="none" w:color="auto"/>
          <w:lang w:eastAsia="zh-CN"/>
        </w:rPr>
        <w:t>发电的机组不允许并网的，由能源监管部门责令限期改正；造成发电企业经济损失的，依法承担赔偿责任。</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第五十七条</w:t>
      </w:r>
      <w:r>
        <w:rPr>
          <w:rFonts w:hint="eastAsia" w:ascii="仿宋" w:hAnsi="仿宋" w:eastAsia="仿宋" w:cs="仿宋"/>
          <w:b w:val="0"/>
          <w:i w:val="0"/>
          <w:color w:val="auto"/>
          <w:sz w:val="32"/>
          <w:szCs w:val="32"/>
          <w:u w:val="none" w:color="auto"/>
          <w:lang w:val="en-US" w:eastAsia="zh-CN"/>
        </w:rPr>
        <w:t xml:space="preserve">  </w:t>
      </w:r>
      <w:r>
        <w:rPr>
          <w:rFonts w:hint="eastAsia" w:ascii="仿宋" w:hAnsi="仿宋" w:eastAsia="仿宋" w:cs="仿宋"/>
          <w:b w:val="0"/>
          <w:i w:val="0"/>
          <w:color w:val="auto"/>
          <w:sz w:val="32"/>
          <w:szCs w:val="32"/>
          <w:u w:val="none" w:color="auto"/>
          <w:lang w:eastAsia="zh-CN"/>
        </w:rPr>
        <w:t>违反本条例规定，重点用能单位未按照标准和程序开展能源审计的，由县级以上人民政府节能主管部门责令限期改正；逾期不改正的，处一万元以上三万元以下罚款。</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color w:val="auto"/>
          <w:sz w:val="32"/>
          <w:szCs w:val="32"/>
          <w:u w:val="none" w:color="auto"/>
          <w:lang w:val="en-US" w:eastAsia="zh-CN"/>
        </w:rPr>
        <w:t xml:space="preserve">第五十八条  </w:t>
      </w:r>
      <w:r>
        <w:rPr>
          <w:rFonts w:hint="eastAsia" w:ascii="仿宋" w:hAnsi="仿宋" w:eastAsia="仿宋" w:cs="仿宋"/>
          <w:b w:val="0"/>
          <w:i w:val="0"/>
          <w:color w:val="auto"/>
          <w:sz w:val="32"/>
          <w:szCs w:val="32"/>
          <w:u w:val="none" w:color="auto"/>
          <w:lang w:val="en-US" w:eastAsia="zh-CN"/>
        </w:rPr>
        <w:t>违反本条例规定，公共机构未优先采购列入政府采购目录的节能产品、设备，或者采购国家明令淘汰的用能产品、设备的，由政府采购监督管理部门给予警告，可以并处采购金额百分之一的罚款；对直接负责的主管人员和其他直接责任人员依法给予行政处分。</w:t>
      </w:r>
    </w:p>
    <w:p>
      <w:pPr>
        <w:keepNext w:val="0"/>
        <w:keepLines w:val="0"/>
        <w:pageBreakBefore w:val="0"/>
        <w:widowControl w:val="0"/>
        <w:kinsoku/>
        <w:wordWrap/>
        <w:overflowPunct/>
        <w:topLinePunct w:val="0"/>
        <w:autoSpaceDE/>
        <w:autoSpaceDN w:val="0"/>
        <w:bidi w:val="0"/>
        <w:spacing w:line="240" w:lineRule="auto"/>
        <w:ind w:left="0" w:leftChars="0" w:right="0" w:rightChars="0" w:firstLine="640"/>
        <w:textAlignment w:val="auto"/>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第五十九条</w:t>
      </w:r>
      <w:r>
        <w:rPr>
          <w:rFonts w:hint="eastAsia" w:ascii="仿宋" w:hAnsi="仿宋" w:eastAsia="仿宋" w:cs="仿宋"/>
          <w:b w:val="0"/>
          <w:i w:val="0"/>
          <w:color w:val="auto"/>
          <w:sz w:val="32"/>
          <w:szCs w:val="32"/>
          <w:u w:val="none" w:color="auto"/>
          <w:lang w:eastAsia="zh-CN"/>
        </w:rPr>
        <w:t>　违反本条例规定，被监察单位无正当理由拒绝节能监察的，由县级以上人民政府节能主管部门责令限期改正；逾期不改正的，处一万元以上三万元以下罚款。</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仿宋" w:hAnsi="仿宋" w:eastAsia="仿宋" w:cs="仿宋"/>
          <w:b w:val="0"/>
          <w:i w:val="0"/>
          <w:color w:val="auto"/>
          <w:sz w:val="32"/>
          <w:szCs w:val="32"/>
          <w:u w:val="none" w:color="auto"/>
          <w:lang w:eastAsia="zh-CN"/>
        </w:rPr>
      </w:pPr>
      <w:r>
        <w:rPr>
          <w:rFonts w:hint="eastAsia" w:ascii="黑体" w:hAnsi="黑体" w:eastAsia="黑体" w:cs="黑体"/>
          <w:b w:val="0"/>
          <w:i w:val="0"/>
          <w:color w:val="auto"/>
          <w:sz w:val="32"/>
          <w:szCs w:val="32"/>
          <w:u w:val="none" w:color="auto"/>
          <w:lang w:eastAsia="zh-CN"/>
        </w:rPr>
        <w:t>第六章　附　则</w:t>
      </w:r>
    </w:p>
    <w:p>
      <w:pPr>
        <w:keepNext w:val="0"/>
        <w:keepLines w:val="0"/>
        <w:pageBreakBefore w:val="0"/>
        <w:widowControl w:val="0"/>
        <w:kinsoku/>
        <w:wordWrap/>
        <w:overflowPunct/>
        <w:topLinePunct w:val="0"/>
        <w:autoSpaceDE/>
        <w:autoSpaceDN w:val="0"/>
        <w:bidi w:val="0"/>
        <w:spacing w:line="240" w:lineRule="auto"/>
        <w:ind w:left="0" w:leftChars="0" w:right="0" w:rightChars="0" w:firstLine="0"/>
        <w:textAlignment w:val="auto"/>
        <w:rPr>
          <w:rFonts w:hint="eastAsia" w:ascii="仿宋" w:hAnsi="仿宋" w:eastAsia="仿宋" w:cs="仿宋"/>
          <w:b w:val="0"/>
          <w:i w:val="0"/>
          <w:color w:val="auto"/>
          <w:sz w:val="32"/>
          <w:szCs w:val="32"/>
          <w:u w:val="none" w:color="auto"/>
          <w:lang w:eastAsia="zh-CN"/>
        </w:rPr>
      </w:pPr>
      <w:r>
        <w:rPr>
          <w:rFonts w:hint="eastAsia" w:ascii="仿宋" w:hAnsi="仿宋" w:eastAsia="仿宋" w:cs="仿宋"/>
          <w:b w:val="0"/>
          <w:i w:val="0"/>
          <w:color w:val="auto"/>
          <w:sz w:val="32"/>
          <w:szCs w:val="32"/>
          <w:u w:val="none" w:color="auto"/>
          <w:lang w:eastAsia="zh-CN"/>
        </w:rPr>
        <w:t>　　</w:t>
      </w:r>
      <w:r>
        <w:rPr>
          <w:rFonts w:hint="eastAsia" w:ascii="黑体" w:hAnsi="黑体" w:eastAsia="黑体" w:cs="黑体"/>
          <w:b w:val="0"/>
          <w:i w:val="0"/>
          <w:color w:val="auto"/>
          <w:sz w:val="32"/>
          <w:szCs w:val="32"/>
          <w:u w:val="none" w:color="auto"/>
          <w:lang w:eastAsia="zh-CN"/>
        </w:rPr>
        <w:t>第六十条</w:t>
      </w:r>
      <w:r>
        <w:rPr>
          <w:rFonts w:hint="eastAsia" w:ascii="仿宋" w:hAnsi="仿宋" w:eastAsia="仿宋" w:cs="仿宋"/>
          <w:b w:val="0"/>
          <w:i w:val="0"/>
          <w:color w:val="auto"/>
          <w:sz w:val="32"/>
          <w:szCs w:val="32"/>
          <w:u w:val="none" w:color="auto"/>
          <w:lang w:eastAsia="zh-CN"/>
        </w:rPr>
        <w:t>　本条例自</w:t>
      </w:r>
      <w:r>
        <w:rPr>
          <w:rFonts w:hint="eastAsia" w:ascii="仿宋" w:hAnsi="仿宋" w:eastAsia="仿宋" w:cs="仿宋"/>
          <w:b w:val="0"/>
          <w:i w:val="0"/>
          <w:color w:val="auto"/>
          <w:sz w:val="32"/>
          <w:szCs w:val="32"/>
          <w:u w:val="none" w:color="auto"/>
          <w:lang w:val="en-US" w:eastAsia="zh-CN"/>
        </w:rPr>
        <w:t>2017</w:t>
      </w:r>
      <w:r>
        <w:rPr>
          <w:rFonts w:hint="eastAsia" w:ascii="仿宋" w:hAnsi="仿宋" w:eastAsia="仿宋" w:cs="仿宋"/>
          <w:b w:val="0"/>
          <w:i w:val="0"/>
          <w:color w:val="auto"/>
          <w:sz w:val="32"/>
          <w:szCs w:val="32"/>
          <w:u w:val="none" w:color="auto"/>
          <w:lang w:eastAsia="zh-CN"/>
        </w:rPr>
        <w:t>年</w:t>
      </w:r>
      <w:r>
        <w:rPr>
          <w:rFonts w:hint="eastAsia" w:ascii="仿宋" w:hAnsi="仿宋" w:eastAsia="仿宋" w:cs="仿宋"/>
          <w:b w:val="0"/>
          <w:i w:val="0"/>
          <w:color w:val="auto"/>
          <w:sz w:val="32"/>
          <w:szCs w:val="32"/>
          <w:u w:val="none" w:color="auto"/>
          <w:lang w:val="en-US" w:eastAsia="zh-CN"/>
        </w:rPr>
        <w:t>5</w:t>
      </w:r>
      <w:r>
        <w:rPr>
          <w:rFonts w:hint="eastAsia" w:ascii="仿宋" w:hAnsi="仿宋" w:eastAsia="仿宋" w:cs="仿宋"/>
          <w:b w:val="0"/>
          <w:i w:val="0"/>
          <w:color w:val="auto"/>
          <w:sz w:val="32"/>
          <w:szCs w:val="32"/>
          <w:u w:val="none" w:color="auto"/>
          <w:lang w:eastAsia="zh-CN"/>
        </w:rPr>
        <w:t>月</w:t>
      </w:r>
      <w:r>
        <w:rPr>
          <w:rFonts w:hint="eastAsia" w:ascii="仿宋" w:hAnsi="仿宋" w:eastAsia="仿宋" w:cs="仿宋"/>
          <w:b w:val="0"/>
          <w:i w:val="0"/>
          <w:color w:val="auto"/>
          <w:sz w:val="32"/>
          <w:szCs w:val="32"/>
          <w:u w:val="none" w:color="auto"/>
          <w:lang w:val="en-US" w:eastAsia="zh-CN"/>
        </w:rPr>
        <w:t>1</w:t>
      </w:r>
      <w:r>
        <w:rPr>
          <w:rFonts w:hint="eastAsia" w:ascii="仿宋" w:hAnsi="仿宋" w:eastAsia="仿宋" w:cs="仿宋"/>
          <w:b w:val="0"/>
          <w:i w:val="0"/>
          <w:color w:val="auto"/>
          <w:sz w:val="32"/>
          <w:szCs w:val="32"/>
          <w:u w:val="none" w:color="auto"/>
          <w:lang w:eastAsia="zh-CN"/>
        </w:rPr>
        <w:t>日起施行。2006年5月24日河北省第十届人民代表大会常务委员会第二十一次会议通过的《河北省节约能源条例》同时废止。</w:t>
      </w:r>
    </w:p>
    <w:p>
      <w:pPr>
        <w:keepNext w:val="0"/>
        <w:keepLines w:val="0"/>
        <w:pageBreakBefore w:val="0"/>
        <w:widowControl w:val="0"/>
        <w:kinsoku/>
        <w:wordWrap/>
        <w:overflowPunct/>
        <w:topLinePunct w:val="0"/>
        <w:autoSpaceDE/>
        <w:autoSpaceDN/>
        <w:bidi w:val="0"/>
        <w:spacing w:line="240" w:lineRule="auto"/>
        <w:ind w:left="0" w:leftChars="0" w:right="0" w:rightChars="0"/>
        <w:textAlignment w:val="auto"/>
      </w:pPr>
    </w:p>
    <w:sectPr>
      <w:headerReference r:id="rId3" w:type="default"/>
      <w:footerReference r:id="rId4" w:type="default"/>
      <w:pgSz w:w="11906" w:h="16838"/>
      <w:pgMar w:top="2098" w:right="1531" w:bottom="1984" w:left="1531" w:header="851" w:footer="1587"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STIXIntegralsUpD">
    <w:panose1 w:val="00000500000000000000"/>
    <w:charset w:val="86"/>
    <w:family w:val="auto"/>
    <w:pitch w:val="default"/>
    <w:sig w:usb0="00000003" w:usb1="00000040" w:usb2="00000000" w:usb3="00000000" w:csb0="A03E0001" w:csb1="00000000"/>
  </w:font>
  <w:font w:name="Arial">
    <w:panose1 w:val="020B0604020202020204"/>
    <w:charset w:val="00"/>
    <w:family w:val="auto"/>
    <w:pitch w:val="default"/>
    <w:sig w:usb0="E0002AFF" w:usb1="C0007843" w:usb2="00000009" w:usb3="00000000" w:csb0="400001FF" w:csb1="FFFF0000"/>
  </w:font>
  <w:font w:name="STIXIntegralsUpSm">
    <w:panose1 w:val="00000500000000000000"/>
    <w:charset w:val="86"/>
    <w:family w:val="auto"/>
    <w:pitch w:val="default"/>
    <w:sig w:usb0="00000003" w:usb1="00000040" w:usb2="00000000" w:usb3="00000000" w:csb0="A03E0001" w:csb1="00000000"/>
  </w:font>
  <w:font w:name="STIXSizeThreeSym">
    <w:panose1 w:val="00000500000000000000"/>
    <w:charset w:val="86"/>
    <w:family w:val="auto"/>
    <w:pitch w:val="default"/>
    <w:sig w:usb0="00000003" w:usb1="000000C0" w:usb2="00000000" w:usb3="00000000" w:csb0="A03E0001" w:csb1="90FE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muda Script">
    <w:panose1 w:val="020B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CRB">
    <w:panose1 w:val="020B0609020202020204"/>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sels Condensed">
    <w:panose1 w:val="02050506040505020204"/>
    <w:charset w:val="00"/>
    <w:family w:val="auto"/>
    <w:pitch w:val="default"/>
    <w:sig w:usb0="00000000" w:usb1="00000000" w:usb2="00000000" w:usb3="00000000" w:csb0="00000000"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仿宋_GB2312">
    <w:altName w:val="仿宋"/>
    <w:panose1 w:val="02010609030101010101"/>
    <w:charset w:val="86"/>
    <w:family w:val="auto"/>
    <w:pitch w:val="default"/>
    <w:sig w:usb0="00000000" w:usb1="00000000" w:usb2="0000000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altName w:val="黑体"/>
    <w:panose1 w:val="00000000000000000000"/>
    <w:charset w:val="86"/>
    <w:family w:val="script"/>
    <w:pitch w:val="default"/>
    <w:sig w:usb0="00000000" w:usb1="00000000" w:usb2="00000000" w:usb3="00000000" w:csb0="00040000" w:csb1="00000000"/>
  </w:font>
  <w:font w:name="宋体-18030">
    <w:altName w:val="宋体"/>
    <w:panose1 w:val="02010609060101010101"/>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MT Extra">
    <w:panose1 w:val="05050102010205020202"/>
    <w:charset w:val="00"/>
    <w:family w:val="auto"/>
    <w:pitch w:val="default"/>
    <w:sig w:usb0="8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Arial Unicode MS">
    <w:altName w:val="宋体"/>
    <w:panose1 w:val="020B0604020202020204"/>
    <w:charset w:val="86"/>
    <w:family w:val="auto"/>
    <w:pitch w:val="default"/>
    <w:sig w:usb0="00000000" w:usb1="00000000" w:usb2="0000003F" w:usb3="00000000" w:csb0="603F01FF" w:csb1="FFFF0000"/>
  </w:font>
  <w:font w:name="???????">
    <w:altName w:val="Times New Roman"/>
    <w:panose1 w:val="00000000000000000000"/>
    <w:charset w:val="00"/>
    <w:family w:val="auto"/>
    <w:pitch w:val="default"/>
    <w:sig w:usb0="00000000" w:usb1="00000000" w:usb2="00000000" w:usb3="00000000" w:csb0="00000001" w:csb1="00000000"/>
  </w:font>
  <w:font w:name="文星标宋">
    <w:altName w:val="宋体"/>
    <w:panose1 w:val="00000000000000000000"/>
    <w:charset w:val="86"/>
    <w:family w:val="auto"/>
    <w:pitch w:val="default"/>
    <w:sig w:usb0="00000000" w:usb1="00000000" w:usb2="00000010" w:usb3="00000000" w:csb0="00040001" w:csb1="00000000"/>
  </w:font>
  <w:font w:name="方正小标宋_GBK">
    <w:altName w:val="宋体"/>
    <w:panose1 w:val="03000509000000000000"/>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_4eff_5b8b_GB2312">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方正仿宋简体">
    <w:altName w:val="微软雅黑"/>
    <w:panose1 w:val="02000000000000000000"/>
    <w:charset w:val="86"/>
    <w:family w:val="auto"/>
    <w:pitch w:val="default"/>
    <w:sig w:usb0="00000000" w:usb1="00000000" w:usb2="00000012" w:usb3="00000000" w:csb0="00040001" w:csb1="00000000"/>
  </w:font>
  <w:font w:name="E-BX">
    <w:altName w:val="MS Gothic"/>
    <w:panose1 w:val="00000000000000000000"/>
    <w:charset w:val="80"/>
    <w:family w:val="auto"/>
    <w:pitch w:val="default"/>
    <w:sig w:usb0="00000000" w:usb1="00000000" w:usb2="00000000" w:usb3="00000000" w:csb0="00020000" w:csb1="00000000"/>
  </w:font>
  <w:font w:name="E-BZ">
    <w:altName w:val="宋体"/>
    <w:panose1 w:val="00000000000000000000"/>
    <w:charset w:val="86"/>
    <w:family w:val="auto"/>
    <w:pitch w:val="default"/>
    <w:sig w:usb0="00000000" w:usb1="00000000" w:usb2="00000000" w:usb3="00000000" w:csb0="00040000" w:csb1="00000000"/>
  </w:font>
  <w:font w:name="FZFSK--GBK1-0">
    <w:altName w:val="宋体"/>
    <w:panose1 w:val="00000000000000000000"/>
    <w:charset w:val="86"/>
    <w:family w:val="auto"/>
    <w:pitch w:val="default"/>
    <w:sig w:usb0="00000000" w:usb1="00000000" w:usb2="00000000" w:usb3="00000000" w:csb0="00040000" w:csb1="00000000"/>
  </w:font>
  <w:font w:name="FZKTK--GBK1-0">
    <w:altName w:val="宋体"/>
    <w:panose1 w:val="00000000000000000000"/>
    <w:charset w:val="86"/>
    <w:family w:val="auto"/>
    <w:pitch w:val="default"/>
    <w:sig w:usb0="00000000" w:usb1="00000000" w:usb2="00000000" w:usb3="00000000" w:csb0="00040000" w:csb1="0000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26920"/>
    <w:rsid w:val="053622E4"/>
    <w:rsid w:val="1BB26920"/>
    <w:rsid w:val="1EC06A81"/>
    <w:rsid w:val="4EB64B37"/>
    <w:rsid w:val="56DC497F"/>
    <w:rsid w:val="5B934DFD"/>
    <w:rsid w:val="5F3D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仿宋_GB2312" w:hAnsi="宋体" w:cs="宋体"/>
      <w:kern w:val="0"/>
      <w:szCs w:val="32"/>
    </w:rPr>
  </w:style>
  <w:style w:type="paragraph" w:customStyle="1" w:styleId="8">
    <w:name w:val="contentarticle"/>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2017-09-15T02:18:00Z</dcterms:created>
  <dc:creator>Yang</dc:creator>
  <cp:lastModifiedBy>Yang</cp:lastModifiedBy>
  <dcterms:modified xsi:type="dcterms:W3CDTF">2017-09-15T07:20:59Z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