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石家庄市邮政通信管理条例"/>
      <w:bookmarkEnd w:id="0"/>
      <w:r>
        <w:rPr>
          <w:rFonts w:ascii="方正小标宋简体" w:eastAsia="方正小标宋简体" w:hAnsi="方正小标宋简体" w:cs="方正小标宋简体" w:hint="eastAsia"/>
          <w:color w:val="333333"/>
          <w:sz w:val="44"/>
          <w:szCs w:val="44"/>
          <w:shd w:val="clear" w:color="auto" w:fill="FFFFFF"/>
        </w:rPr>
        <w:t>石家庄市邮政通信管理条例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（1997年8月28日石家庄市第九届人民代表大会常务委员会第二十七次会议通过　1997年10月25日河北省第八届人民代表大会常务委员会第二十九次会议批准　2004年8月27日石家庄市第十一届人民代表大会常务委员会第十一次会议通过相关条款的决定　2004年9月27日河北省第十届人民代表大会常务委员会第十一次会议批准）</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为保证邮政通信安全、畅通，加强邮政通信市场管理，提高邮政通信质量和服务水平，促进邮政通信事业的发展，根据《中华人民共和国邮政法》和有关法律、法规，结合本市实际，制定本条例。</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本条例适用于本市行政区域内邮政通信事业的建设和管理。</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邮政企业应当为用户提供迅速、准确、安全、方便的邮政通信服务，保障用户使用邮政通信的合法权益。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邮政企业应当采用先进的科学技术，实施现代化管理。</w:t>
      </w:r>
    </w:p>
    <w:p>
      <w:pPr>
        <w:ind w:firstLine="640" w:firstLineChars="200"/>
        <w:rPr>
          <w:rFonts w:ascii="Times New Roman" w:hAnsi="Times New Roman" w:cs="仿宋_GB2312"/>
          <w:sz w:val="32"/>
          <w:szCs w:val="32"/>
        </w:rPr>
      </w:pPr>
      <w:bookmarkStart w:id="6" w:name="第四条"/>
      <w:bookmarkEnd w:id="6"/>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石家庄市邮政局是本市邮政通信主管部门，负责本市邮政通信行业管理工作。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建设、规划、工商行政管理、公安、民政、市容环卫、技术监督、交通等有关部门按照职责分工，协助开展邮政通信建设和管理工作。</w:t>
      </w:r>
    </w:p>
    <w:p>
      <w:pPr>
        <w:ind w:firstLine="640" w:firstLineChars="200"/>
        <w:rPr>
          <w:rFonts w:ascii="Times New Roman" w:hAnsi="Times New Roman" w:cs="仿宋_GB2312"/>
          <w:sz w:val="32"/>
          <w:szCs w:val="32"/>
        </w:rPr>
      </w:pPr>
      <w:bookmarkStart w:id="7" w:name="第五条"/>
      <w:bookmarkEnd w:id="7"/>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保证邮政通信安全、畅通，保护邮政通信设施，是一切单位和公民的义务。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任何单位和个人对违反本条例的行为有权制止、检举和控告。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对在邮政通信事业的建设和管理中做出显著成绩的单位和个人，市人民政府和邮政通信主管部门应当给予表彰和奖励。</w:t>
      </w:r>
    </w:p>
    <w:p>
      <w:pPr>
        <w:rPr>
          <w:rFonts w:ascii="Times New Roman" w:eastAsia="宋体" w:hAnsi="Times New Roman" w:cs="宋体"/>
          <w:szCs w:val="32"/>
        </w:rPr>
      </w:pPr>
    </w:p>
    <w:p>
      <w:pPr>
        <w:jc w:val="center"/>
        <w:rPr>
          <w:rFonts w:ascii="Times New Roman" w:eastAsia="黑体" w:hAnsi="Times New Roman" w:cs="黑体"/>
          <w:szCs w:val="32"/>
        </w:rPr>
      </w:pPr>
      <w:bookmarkStart w:id="8" w:name="第二章 规划与建设"/>
      <w:bookmarkEnd w:id="8"/>
      <w:r>
        <w:rPr>
          <w:rFonts w:ascii="Times New Roman" w:eastAsia="黑体" w:hAnsi="Times New Roman" w:cs="黑体" w:hint="eastAsia"/>
          <w:szCs w:val="32"/>
        </w:rPr>
        <w:t>第二章　规划与建设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各级人民政府应当将邮政通信建设纳入国民经济和社会发展计划以及城市总体规划，并组织实施。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邮政通信主管部门应当依据城市总体规划编制邮政通信专业规划，经城市规划部门审查同意，并报市人民政府批准。</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邮政通信主管部门应当根据城市规划和通信行业标准设置邮政通信服务机构，建设邮政通信设施。</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城市规划部门应当将邮政通信用房作为公共建筑配套设施纳入城市旧区改造和新区开发的规划设计方案。建设单位应当按照城市规划部门批准的规划设计方案配套建设邮政通信用房，并按建筑成本价售予邮政通信主管部门安排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邮政通信设施应当与主体工程同时规划、同时建设、同时验收。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建设、规划等主管部门应当通知邮政通信主管部门参加规划、设计会审和竣工验收。</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城市居民住宅应当设置信报箱，设计标准按照国家标准或者通信行业标准执行，所需费用纳入建设项目总投资，已设置收发室的除外，未将信报箱列入设计图纸的，城市规划部门不得颁发建设工程规划许可证。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已建成并投入使用的城市居民住宅未依照前款规定设置信报箱的，由产权人或者物业管理部门负责在邮政通信主管部门规定的期限内补设。已设置收发室的城市居民住宅除外。</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编制村庄、集镇总体规划和建设规划时，应当包含邮政通信设施设置的内容。</w:t>
      </w:r>
    </w:p>
    <w:p>
      <w:pPr>
        <w:rPr>
          <w:rFonts w:ascii="Times New Roman" w:eastAsia="宋体" w:hAnsi="Times New Roman" w:cs="宋体"/>
          <w:szCs w:val="32"/>
        </w:rPr>
      </w:pPr>
    </w:p>
    <w:p>
      <w:pPr>
        <w:jc w:val="center"/>
        <w:rPr>
          <w:rFonts w:ascii="Times New Roman" w:eastAsia="黑体" w:hAnsi="Times New Roman" w:cs="黑体"/>
          <w:szCs w:val="32"/>
        </w:rPr>
      </w:pPr>
      <w:bookmarkStart w:id="14" w:name="第三章 服务与保障"/>
      <w:bookmarkEnd w:id="14"/>
      <w:r>
        <w:rPr>
          <w:rFonts w:ascii="Times New Roman" w:eastAsia="黑体" w:hAnsi="Times New Roman" w:cs="黑体" w:hint="eastAsia"/>
          <w:szCs w:val="32"/>
        </w:rPr>
        <w:t>第三章　服务与保障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对具备法定通邮条件的用户，邮政企业应当在用户办理邮件投递登记手续并缴纳通邮登记费后的三十日内予以通邮。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对尚不具备通邮条件的，邮政企业可以将邮件投递至用户指定的已通邮的邮件代收点或者用户租用的邮政信箱。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用户不具备通邮条件，又未依照前款规定与邮政企业商定妥投方式的，邮政企业可以按照地址不详、无法投递退回寄件人。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无法退回寄件人的，作为无着邮件处理。</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邮政企业可以根据用户的要求与用户签订协议，约定投递位置和方式，提供不列延伸投递服务：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（一）包裹专送；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（二）印刷品专送；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（三）单位邮件分投；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（四）上楼投递；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（五）农村用户直投；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（六）其他投递方式。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享受延伸投递服务的用户，应当依照物价部门核定的标准缴纳服务费。</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邮政企业应当在营业场所明显的部位公布营业时间、经营业务和资费标准。邮政信筒（箱）应当标明开筒（箱）的频次和时间。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邮政企业应当按照规定的频次、时间和投递范围投递邮件。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邮政企业办理邮政通信业务，应当执行统一的资费标准，不得乱收费。</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邮政企业工作人员不得实施下列行为：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（一）私拆、隐匿、毁弃、盗窃邮件，撕揭邮票、贪污、冒领用户款项；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（二）故意延误投递邮件；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（三）拒绝办理依法应当办理的邮政通信业务；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（四）擅自中止对用户的邮政通信服务；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（五）擅自改变邮政通信业务收费标准或者增加收费项目；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（六）强迫用户使用高资费邮政通信业务；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（七）利用工作之便谋取私利；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（八）其他违反邮政通信法律、法规的行为。</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邮政企业应当设置用户监督信箱，公布监督电话号码，受理用户举报或者投诉，接受社会对邮政通信服务质量的监督。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邮政企业应当在接到用户举报或者投诉后三日内，将处理情况答复用户。</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发生邮发报刊丢失的，用户可以向邮政企业查询，邮政企业应当在接到用户查询之日起三日内予以答复。属于邮政企业过错造成邮发报刊丢失的，邮政企业应当在规定的期限内予以补投或者赔偿。</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用户交寄的信函、明信片没有正确书写邮政编码，使用不符合国家标准或者通信行业标准信封明信片的，邮政企业不予收寄。已投入邮政信筒（箱）的，由邮政企业退给寄件人；无法退回寄件人的，作为无着邮件处理。</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用户变更名称、通邮地址的，应当在变更前十日通知邮政企业；变更后的住址不具备通邮条件的，依照本条例第十一条的规定办理。</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单位应当在楼房地面层或者大院总出入口处设置收发室；两个以上单位使用同一通邮地址的，应当设置联合收发室，并使用统一规格的收发章。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城市居民住宅不设置信报箱的，应当在楼房地面层或者大院总出入口处设置收发室。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村庄、集镇应当在村民委员会所在地或者经邮政企业同意的其他地点设置收发室或者代收点。</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通邮单位收发人员接收给据邮件时，应当点核无误，并在相关单式盖章签收。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由于收发人员的过错造成给据邮件丢失、损毁、内件短少或者邮政汇款被冒领的，通邮单位应当先行承担民事赔偿责任，然后由通邮单位向有过错的收发人员追偿。</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地名管理部门设置的街道名称牌、单位门牌、应当附印邮政编码。</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邮政企业根据城市规划和社会需要设置的邮政报刊亭、邮亭、邮政信筒（箱）、阅报橱窗、免交城市道路占用费、市容管理费等有关费用。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邮件运输投递专用车辆在通过收费的公路、桥梁时，免交车辆通行费等有关费用。</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任何单位和个人不得实施下列行为：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（一）擅自迁移、污损、破坏邮亭、邮政报刊亭、邮政信筒（箱）、信报箱、邮政编码牌；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（二）私开邮政信筒（箱），或者向邮政信筒（箱）内塞投易燃、易爆、腐蚀性物品或者其他杂物；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（三）在邮政通信服务机构门前通道或者邮亭、邮政报刊亭、邮政信筒（箱）、信报箱等周围设摊、堆物、停放非用邮车辆等，妨碍邮政通信工作正常进行；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（四）伪造或者冒用邮政专用标志、邮政专用名称、邮政标志服或者邮政日戳等邮政专用品；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（五）伪造邮资凭证，未经许可伪印邮票图案或者印制带有“中国邮政”字样有明信片；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（六）伪造用于邮政通信业务的其他有价证券（卡）；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（七）其他违反邮政通信法律、法规的行为。</w:t>
      </w:r>
    </w:p>
    <w:p>
      <w:pPr>
        <w:rPr>
          <w:rFonts w:ascii="Times New Roman" w:eastAsia="宋体" w:hAnsi="Times New Roman" w:cs="宋体"/>
          <w:szCs w:val="32"/>
        </w:rPr>
      </w:pPr>
    </w:p>
    <w:p>
      <w:pPr>
        <w:jc w:val="center"/>
        <w:rPr>
          <w:rFonts w:ascii="Times New Roman" w:eastAsia="黑体" w:hAnsi="Times New Roman" w:cs="黑体"/>
          <w:szCs w:val="32"/>
        </w:rPr>
      </w:pPr>
      <w:bookmarkStart w:id="28" w:name="第四章 邮政通信市场管理"/>
      <w:bookmarkEnd w:id="28"/>
      <w:r>
        <w:rPr>
          <w:rFonts w:ascii="Times New Roman" w:eastAsia="黑体" w:hAnsi="Times New Roman" w:cs="黑体" w:hint="eastAsia"/>
          <w:szCs w:val="32"/>
        </w:rPr>
        <w:t>第四章　邮政通信市场管理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除国务院另有规定的外，下列邮政通信业务由邮政企业专营：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（一）信函、明信片和其他具有信件性质的物品的寄递；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（二）普通邮票的销售和集邮品的制作；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（三）邮政编码簿（图集）和其他形式的邮政编码资料的编印、发行；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（四）用于邮政通信业务的其他有价证券（卡）的发行、销售；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（五）邮发报刊的征订、发行；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（六）法律、法规规定由邮政企业专营的其他业务。</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邮政企业委托其他单位和个人代办信函、明信片和其他具有信件性质的物品的寄递业务或者普通邮票和销售业务，应当报经邮政通信主管部门批准。代办单位和个人应当取得邮政通信主管部门允许开办代办业务的批准文件后，方可与邮政企业签让代办协议。</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非邮政企业使用邮政通信网络经营速递业务的，应当与邮政企业签订协议，并到邮政通信主管部门备案。</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经营集邮业务的单位和个人应到工商行政管理部门登记注册，领取营业执照后方可经营。</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生产邮政通信使用的信封、明信片、邮包封装盒和信报箱的企业，应当到邮政通信主管部门办理生产监制证书。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禁止任何单位和个人生产销售未经邮政通信主管部门监制或者不符合国家标准或者通信行业标准的信封、明信片，邮包封装盒和信报箱。</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邮政企业和其他经营通信业务的单位或者个人不得实施下列行为：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（一）销售国务院有关主管部门规定禁止流通的邮票和集邮品；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（二）低于面值销售邮票或者在新邮发行期内高于面值销售邮票；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（三）违反国务院邮政通信主管部门的规定提前出售邮票和集邮品；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（四）销售非邮政企业制作的集邮品；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（五）经营邮票和集邮品的进出口业务；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（六）伪造、冒用、转让、转借、涂改批准文件、监制证书或者经营许可证。</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邮政企业和其他经营通信业务的单位或者个人应当遵守邮政通信法律、法规，接受邮政通信主管部门的行业管理。</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邮政通信主管部门应当依法对邮政企业和其他经营通信业务的单位和个人进行行业管理，并根据工作需要配备邮政通信行政执法人员。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邮政通信行政执法人员应当熟悉邮政通信法律、法规，掌握邮政通信业务知识，公正廉洁、秉公执法。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邮政通信行政执法人员可以进入经营场所进行检查，查阅资料，收集和依法登记保存证据。</w:t>
      </w:r>
    </w:p>
    <w:p>
      <w:pPr>
        <w:rPr>
          <w:rFonts w:ascii="Times New Roman" w:eastAsia="宋体" w:hAnsi="Times New Roman" w:cs="宋体"/>
          <w:szCs w:val="32"/>
        </w:rPr>
      </w:pPr>
    </w:p>
    <w:p>
      <w:pPr>
        <w:jc w:val="center"/>
        <w:rPr>
          <w:rFonts w:ascii="Times New Roman" w:eastAsia="黑体" w:hAnsi="Times New Roman" w:cs="黑体"/>
          <w:szCs w:val="32"/>
        </w:rPr>
      </w:pPr>
      <w:bookmarkStart w:id="37" w:name="第五章 法律责任"/>
      <w:bookmarkEnd w:id="37"/>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有下列行为之一的，由邮政通信主管部门责令限期补建，并由责任单位承担邮政企业为解决用户通邮采取的临时措施所需费用；逾期不补建的，处以补建费用百分之十至百分之三十的罚款；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（一）建设工程未按规定配套建设邮政通信设施；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（二）城市居民住宅未按规定设置信报箱或者收发室。</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邮政企业工作人员违反本条例第十四条第（一）项至第（四）项和第（七）项规定的，由其所在单位或者上级主管部门给予行政处分，没收违法所得，并处罚款；给用户造成经济损失的，依照规定承担赔偿责任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邮政企业工作人员违反本条例第十四条第（五）项和第（六）项规定的，由其所在单位或者上级主管部门责令改正，可以并处罚款；情节严重的，给予行政处分。</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违反本条例第十五条第二款、第十六条规定的，由邮政通信主管部门予以警告，并责令改正。</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违反本条例第二十三条第（一）项至第（三）项规定的，由邮政通信主管部门予以警告、责令改正，可以并处一千元以下的罚款。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违反本条例第二十三条第（四）项规定的，由邮政通信主管部门没收有关物品，并处一千五百元以下的罚款。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违反本条例第二十三条第（五）项规定的，由邮政通信主管部门没收违法所得和有关物品，并处五千元以下的罚款。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违反本条例第二十三条第（六）项规定的，由邮政通信主管部门没收违法所得和有关物品，并处违法经营额一倍以上三倍以下的罚款。</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擅自经营信函、明信片和其他具有信件性质的物品寄递业务的，邮政通信主管部门应当将材料移送工商行政管理部门，由工商行政管理部门责令其将收寄的信函、明信片和其他具有信件性质的物品和收取的资费退给寄件人，并处违法经营额三倍以上五倍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擅自经营本条例第二十四条第（二）项至第（六）项规定的邮政通信专营业务的，由邮政通信主管部门予以警告、没收违法所得和有关物品，可以并处违法经营额一倍以上三倍以下的罚款。</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违反本条例第二十六条规定的，由邮政通信主管部门责令其补办手续；逾期不补办的，每逾期一日，处五百元罚款，并通知邮政企业不予收寄其交寄物品。</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七条规定，未取得营业执照经营集邮业务的，由工商行政主管部门或邮政通信主管部门依法予以取缔，没收违法所得。违法所得不能计算的，可以处违法经营额一倍以上三倍以下的罚款，并没收有关物品。</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违反本条例第二十八条规定，生产销售未经监制的信封、明信片、邮包封装盒、信报箱的，由邮政通信主管部门予以警告、没收违法所得和有关物品，可以并处违法经营额一倍以上三倍以下的罚款。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销售不符合国家标准或者通信行业标准信封、明信片、邮包封装盒、信报箱的，由工商行政管理部门、技术监督部门依照有关法律、法规予以处罚；情节严重的，邮政通信主管部门应当依照规定程序撤消监制证书。</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九条第（一）项至第（五）项规定的，由邮政通信主管部门予以警告、没收违法所得和有关物品，可以并处违法经营额一倍以上三倍以下的罚款，情节严重的，依照规定程序撤销批准文件、监制证书、吊销经营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违反本条例第二十九条第（六）项规定的，由邮政通信主管部门没收违法所得和有关物品，并处一千元以上五千元以下的罚款；并依照规定程序撤销批准文件、监制证书，吊销经营许可证。</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妨碍邮政通信主管部门监督检查的，由邮政通信主管部门予以警告、责令改正，可以并处一千元以下的罚款。</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邮政通信主管部门工作人员滥用职权、玩忽职守、徇私舞弊的，由其所在单位或者上级主管部门给予行政处分；构成犯罪的，依法追究刑事责任。</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当事人对行政处罚不服的，可以依照有关法律、法规申请复议或者起诉；逾期不申请复议、不起诉又不履行处罚决定的，由做出处罚决定的部门向人民法院申请强制执行。</w:t>
      </w:r>
    </w:p>
    <w:p>
      <w:pPr>
        <w:rPr>
          <w:rFonts w:ascii="Times New Roman" w:eastAsia="宋体" w:hAnsi="Times New Roman" w:cs="宋体"/>
          <w:szCs w:val="32"/>
        </w:rPr>
      </w:pPr>
    </w:p>
    <w:p>
      <w:pPr>
        <w:jc w:val="center"/>
        <w:rPr>
          <w:rFonts w:ascii="Times New Roman" w:eastAsia="黑体" w:hAnsi="Times New Roman" w:cs="黑体"/>
          <w:szCs w:val="32"/>
        </w:rPr>
      </w:pPr>
      <w:bookmarkStart w:id="50" w:name="第六章 附则"/>
      <w:bookmarkEnd w:id="50"/>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本条例下列用语含义是：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（一）信报箱，是指用户依照规定设置的接收邮件的设施，包括单元式信报箱和信报箱间、群、亭。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（二）信函，是指套封形式传递的缄封的信息载体。具体内容包括：书信、各类文件、各类单据、证件、各类通知、有价证券。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具有信件性质的物品，是指以符号、图像音响等方式传递的信息载体。具体内容包括：印有“内部”字样的书籍、报刊、资料，具有通信内容的音像制品、计算机信息媒体，国务院邮政通信主管部门规定的其他具有信件性质的物品。</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本条例自1998年1月1日起施行。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