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11C473">
      <w:pPr>
        <w:bidi w:val="0"/>
        <w:rPr>
          <w:rFonts w:hint="default"/>
          <w:lang w:val="en-US" w:eastAsia="zh-CN"/>
        </w:rPr>
      </w:pPr>
    </w:p>
    <w:p w14:paraId="5A202E65">
      <w:pPr>
        <w:bidi w:val="0"/>
        <w:rPr>
          <w:rFonts w:hint="eastAsia"/>
          <w:lang w:val="en-US" w:eastAsia="zh-CN"/>
        </w:rPr>
      </w:pPr>
    </w:p>
    <w:p w14:paraId="22909517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秦皇岛市人民代表大会常务委员会</w:t>
      </w:r>
      <w:r>
        <w:rPr>
          <w:rFonts w:hint="eastAsia"/>
          <w:lang w:val="en-US" w:eastAsia="zh-CN"/>
        </w:rPr>
        <w:br w:type="textWrapping"/>
      </w:r>
      <w:bookmarkStart w:id="0" w:name="_GoBack"/>
      <w:bookmarkEnd w:id="0"/>
      <w:r>
        <w:rPr>
          <w:rFonts w:hint="eastAsia"/>
          <w:lang w:val="en-US" w:eastAsia="zh-CN"/>
        </w:rPr>
        <w:t>关于修改、废止部分地方性法规的决定</w:t>
      </w:r>
    </w:p>
    <w:p w14:paraId="54C58C3E"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（2024年6月27日秦皇岛市第十五届人民代表大会常务委员会第二十六次会议通过　2024年7月25日河北省第十四届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人民代表大会常务委员会第十次会议批准）</w:t>
      </w:r>
    </w:p>
    <w:p w14:paraId="6AACB2DE">
      <w:pPr>
        <w:pStyle w:val="11"/>
        <w:bidi w:val="0"/>
        <w:rPr>
          <w:rFonts w:hint="eastAsia"/>
          <w:lang w:val="en-US" w:eastAsia="zh-CN"/>
        </w:rPr>
      </w:pPr>
    </w:p>
    <w:p w14:paraId="6B951E9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秦皇岛市第十五届人民代表大会常务委员会第二十六次会议决定：</w:t>
      </w:r>
    </w:p>
    <w:p w14:paraId="7C193582">
      <w:pPr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一、对《秦皇岛市停车场管理条例》作出修改</w:t>
      </w:r>
    </w:p>
    <w:p w14:paraId="5C12E2B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（一）将第十二条中的“发展改革”修改为“行政审批”。</w:t>
      </w:r>
    </w:p>
    <w:p w14:paraId="23CA6FC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（二）将第二十一条中的“需要经过业主大会的同意”修改为“需要经过业主共同决定”。</w:t>
      </w:r>
    </w:p>
    <w:p w14:paraId="11D820D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（三）将第二十三条第二款中的“业主大会同意的证明材料”修改为“经业主共同决定的证明材料”。</w:t>
      </w:r>
    </w:p>
    <w:p w14:paraId="2B541A2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（四）将第三十五条中的“《无照经营查处取缔办法》”修改为“《无证无照经营查处办法》”。</w:t>
      </w:r>
    </w:p>
    <w:p w14:paraId="299850F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（五）将第三十七条第三款修改为：“违反第六项规定的，由税务主管部门责令改正，并依照税收、发票管理的相关法律法规处罚。”</w:t>
      </w:r>
    </w:p>
    <w:p w14:paraId="54B086F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（六）删除第三十九条中的“，并依法强制恢复原状”。</w:t>
      </w:r>
    </w:p>
    <w:p w14:paraId="10FA681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（七）将第四十一条中的“行政处分”修改为“处分”。</w:t>
      </w:r>
    </w:p>
    <w:p w14:paraId="36552DE7">
      <w:pPr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二、对《秦皇岛市制定地方性法规条例》作出修改</w:t>
      </w:r>
    </w:p>
    <w:p w14:paraId="129FDB6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将第五条第一款中的“市人民代表大会及其常务委员会可以对城乡建设与管理、环境保护、历史文化保护等方面涉及的下列事项制定地方性法规”修改为“市人民代表大会及其常务委员会可以对城乡建设与管理、生态文明建设、历史文化保护、基层治理等方面涉及的下列事项制定地方性法规”。</w:t>
      </w:r>
    </w:p>
    <w:p w14:paraId="2D8E1E1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（二）将第十二条第二款修改为：“立法规划和年度立法计划确定后，在十五日内报送省人民代表大会常务委员会。”</w:t>
      </w:r>
    </w:p>
    <w:p w14:paraId="25E49A4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（三）将第十四条中的“省人民代表大会常务委员会法制工作机构”修改为“省人民代表大会常务委员会”。</w:t>
      </w:r>
    </w:p>
    <w:p w14:paraId="31570D6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（四）将第十九条第三款中的“拟设定行政许可、行政强制的”修改为“拟设定行政许可、行政强制措施、行政处罚的”。</w:t>
      </w:r>
    </w:p>
    <w:p w14:paraId="585EF50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（五）删除第三十三条第二款中的“、常务委员会工作机构”“或者审查”。</w:t>
      </w:r>
    </w:p>
    <w:p w14:paraId="3AE9840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（六）删除第三十四条第一款中的“、常务委员会工作机构”“或者审查”。删除第二款中的“或者常务委员会工作机构审查”。</w:t>
      </w:r>
    </w:p>
    <w:p w14:paraId="617931E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（七）将第四十条修改为：“列入常务委员会会议议程的地方性法规案，由有关的专门委员会进行审议，提出审议意见，印发常务委员会会议。</w:t>
      </w:r>
    </w:p>
    <w:p w14:paraId="1FEA9EF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“有关的专门委员会审议地方性法规案时，可以邀请其他专门委员会的成员列席会议，发表意见。”</w:t>
      </w:r>
    </w:p>
    <w:p w14:paraId="4892134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（八）删除第四十一条第一款中的“、常务委员会工作机构的审查意见”“或者常务委员会工作机构”和“或者审查”。删除第二款中的“和常务委员会工作机构的负责人”。</w:t>
      </w:r>
    </w:p>
    <w:p w14:paraId="6191BEA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（九）删除第四十八条第二款中的“、常务委员会工作机构”“或者审查”。</w:t>
      </w:r>
    </w:p>
    <w:p w14:paraId="0CF1576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（十）将第五十条中的“由主任会议向常务委员会报告，该地方性法规案终止审议”修改为“主任会议可以决定终止审议，并向常务委员会报告；必要时，主任会议也可以决定延期审议”。</w:t>
      </w:r>
    </w:p>
    <w:p w14:paraId="7C6834B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十一）将第五十二条第一款修改为：“已批准的地方性法规，由常务委员会发布公告予以公布，地方性法规的文本以及草案的说明、审议结果报告等，应当及时在常务委员会公报、秦皇岛人大网站和《秦皇岛日报》上刊载。”</w:t>
      </w:r>
    </w:p>
    <w:p w14:paraId="03A0617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（十二）将第五十五条中的“市人民政府、市中级人民法院、市人民检察院”修改为“市人民政府、市监察委员会、市中级人民法院、市人民检察院”。</w:t>
      </w:r>
    </w:p>
    <w:p w14:paraId="3441FF5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（十三）删除第六十二条第二款中的“或者常务委员会工作机构审查”。</w:t>
      </w:r>
    </w:p>
    <w:p w14:paraId="191924FB">
      <w:pPr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三、对《秦皇岛市长城保护条例》作出修改</w:t>
      </w:r>
    </w:p>
    <w:p w14:paraId="669C295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（一）将第三条修改为：“长城保护应当贯彻保护第一、加强管理、挖掘价值、有效利用，让文物活起来的方针，坚持科学规划、原状保护的原则，保护长城的真实性、完整性和历史风貌。”</w:t>
      </w:r>
    </w:p>
    <w:p w14:paraId="596950E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（二）将第四条第三款中的“等部门”修改为“等主管部门”。</w:t>
      </w:r>
    </w:p>
    <w:p w14:paraId="225EF03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（三）将第八条第一款“土地利用总体规划、城乡规划”修改为“国土空间规划”。删除第二款。</w:t>
      </w:r>
    </w:p>
    <w:p w14:paraId="03C19BE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四）将第十条第一款修改为：“在禁止工程建设的长城保护范围内，不得改建长城遗存，不得添建新建筑和进行其他工程建设，不得开展危害长城本体安全的活动。在建设控制地带或者未禁止工程建设的保护范围内进行工程建设的，应当依法履行报批程序，不得破坏长城历史风貌。”增加一款作为第二款：“任何组织或者个人进行工程建设，不得拆除、穿越、迁移长城。工程建设涉及到长城的，应当绕过长城。无法绕过的，应当采取挖掘地下通道的方式通过长城；无法挖掘地下通道的，应当采取架设桥梁的方式通过长城。”将原第二款作为第三款。删除原第三款。</w:t>
      </w:r>
    </w:p>
    <w:p w14:paraId="70B82FE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（五）在第二十条增加一项，作为第五项：“（五）法律、法规禁止的其他活动。”</w:t>
      </w:r>
    </w:p>
    <w:p w14:paraId="00E85F9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六）将第二十二条修改为：“违反本条例规定，有下列情形之一的，由市、县（区）人民政府文物主管部门责令改正；造成严重后果的，处十万元以上五十万元以下的罚款；情节严重的，由原发证机关吊销资质证书：</w:t>
      </w:r>
    </w:p>
    <w:p w14:paraId="59E4CE9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“（一）在禁止工程建设的长城段落的保护范围内进行工程建设的；</w:t>
      </w:r>
    </w:p>
    <w:p w14:paraId="03362B7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“（二）在长城保护范围或者建设控制地带内进行工程建设，未依法报批的；</w:t>
      </w:r>
    </w:p>
    <w:p w14:paraId="586259C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“（三）因工程建设拆除、穿越、迁移长城的，或者未采取本条例规定的方式进行工程建设的。”</w:t>
      </w:r>
    </w:p>
    <w:p w14:paraId="5CAA98C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（七）将第二十三条修改为：“擅自移动、拆除、损毁长城保护标志、警示标志的，由公安机关或者文物主管部门给予警告，可以并处二百元以下罚款。”</w:t>
      </w:r>
    </w:p>
    <w:p w14:paraId="4191772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（八）将第二十八条中的“行政处分”修改为“处分”。</w:t>
      </w:r>
    </w:p>
    <w:p w14:paraId="7402F430">
      <w:pPr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四、对《秦皇岛市爱国卫生条例》作出修改</w:t>
      </w:r>
    </w:p>
    <w:p w14:paraId="295E714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将第三十七条第二款修改为：“违反本条例第二十条第三项规定，未按照规定倾倒生活垃圾的，由城市管理综合执法行政主管部门责令改正，并处一百元以上五百元以下的罚款，没收违法所得；未按照规定倾倒其他垃圾的，由城市管理综合执法行政主管部门按照有关法律法规的规定处罚；未按照规定倾倒污水的，由城市管理综合执法行政主管部门责令改正，并处二十元以上五十元以下罚款。”</w:t>
      </w:r>
    </w:p>
    <w:p w14:paraId="0165875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（二）删除第三十一条、第四十三条。</w:t>
      </w:r>
    </w:p>
    <w:p w14:paraId="62236ED0">
      <w:pPr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五、对《秦皇岛市市容管理条例》作出修改</w:t>
      </w:r>
    </w:p>
    <w:p w14:paraId="6477A64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将第二十六条修改为：“在城市道路两侧或者公共场地临时摆设摊点，应当向城市管理综合执法部门备案，并书面承诺落实市容环境卫生责任。经营者应当按备案的时间、地点和范围从事有关经营活动，并负责经营范围内的环境卫生。</w:t>
      </w:r>
    </w:p>
    <w:p w14:paraId="67D0341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“市、县（区）人民政府应当明确允许摆设摊点的区域和时间，并向社会公布。”</w:t>
      </w:r>
    </w:p>
    <w:p w14:paraId="376DC88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将第四十七条修改为：“违反本条例第二十六条规定，未向城市管理综合执法部门备案，擅自在城市道路两侧和公共场地摆设摊点或者未按备案的时间、地点和范围从事相关经营活动的，由城市管理综合执法部门责令停止经营；拒不停止经营的，每次处五十元以上一百元以下罚款。”</w:t>
      </w:r>
    </w:p>
    <w:p w14:paraId="41C7F9B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（三）将第五十六条中的“行政处分”修改为“处分”。</w:t>
      </w:r>
    </w:p>
    <w:p w14:paraId="07E04BD6">
      <w:pPr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六、对《秦皇岛市养犬管理条例》作出修改</w:t>
      </w:r>
    </w:p>
    <w:p w14:paraId="606627C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（一）将第五条第五款中的“相关部门”修改为“相关主管部门”。</w:t>
      </w:r>
    </w:p>
    <w:p w14:paraId="20BBD2B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（二）将第四十三条中的“行政处分”修改为“处分”。</w:t>
      </w:r>
    </w:p>
    <w:p w14:paraId="4969CCC4">
      <w:pPr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七、对《秦皇岛市沿海防护林条例》作出修改</w:t>
      </w:r>
    </w:p>
    <w:p w14:paraId="3B6838E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将第十八条第二款中的“国有森林经营单位”修改为“国有森林经营者”。</w:t>
      </w:r>
    </w:p>
    <w:p w14:paraId="46030F02">
      <w:pPr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八、对《秦皇岛市旅游市场条例》作出修改</w:t>
      </w:r>
    </w:p>
    <w:p w14:paraId="6231749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（一）在第五十九条原有表述后增加：“上述行为违反治安管理规定的，由公安机关依照《中华人民共和国治安管理处罚法》的规定处罚。”</w:t>
      </w:r>
    </w:p>
    <w:p w14:paraId="0C20D58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（二）将第六十二条中的“并处二百元以上二千元以下罚款”修改为“并处二百元以上五百元以下罚款”。</w:t>
      </w:r>
    </w:p>
    <w:p w14:paraId="3727F688">
      <w:pPr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九、对《秦皇岛市电力设施保护条例》作出修改</w:t>
      </w:r>
    </w:p>
    <w:p w14:paraId="33EE2BD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将第二十五条第二款中的“建设单位应当征得电力线路设施所有权人同意，并采取必要的安全措施”修改为“建设单位应当征得电力线路设施所有权人同意，签署书面协议，并采取必要的安全措施”。</w:t>
      </w:r>
    </w:p>
    <w:p w14:paraId="7C985CC1">
      <w:pPr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十、对《秦皇岛市海岸线保护条例》作出修改</w:t>
      </w:r>
    </w:p>
    <w:p w14:paraId="7790873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第十五条中的“违反规定设置入海排污口的，由生态环境主管部门责令关闭，并处五万元以上十万元以下罚款。”修改为“违反规定设置入海排污口的，由生态环境主管部门责令关闭或者拆除，并处五万元以上十万元以下罚款；拒不关闭或者拆除的，强制关闭、拆除，所需费用由违法者承担，处十万元以上五十万元以下罚款；情节严重的，可以责令停产整治。设置入海排污口未备案的，由生态环境主管部门责令改正，处二万元以上十万元以下罚款。”</w:t>
      </w:r>
    </w:p>
    <w:p w14:paraId="0BE55A85">
      <w:pPr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十一、对《秦皇岛市物业管理条例》作出修改</w:t>
      </w:r>
    </w:p>
    <w:p w14:paraId="43C7B8B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（一）将第十六条第一款中的“两个月”修改为“六十日”。将第二十条第一款、第五十条第一款、第五十二条第四款中的“三个月”修改为“九十日”。</w:t>
      </w:r>
    </w:p>
    <w:p w14:paraId="0676903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（二）删除第二十五条第二款中的“并认真履行国务院《物业管理条例》所规定业主义务”。</w:t>
      </w:r>
    </w:p>
    <w:p w14:paraId="2A984B6A">
      <w:pPr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十二、对《秦皇岛市文明行为促进条例》作出修改</w:t>
      </w:r>
    </w:p>
    <w:p w14:paraId="1746D19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将第十一条第六项中的“遵守《秦皇岛市环境噪声污染防治条例》有关规定”修改为“遵守噪声污染防治法律法规有关规定”。</w:t>
      </w:r>
    </w:p>
    <w:p w14:paraId="6F7A8E90">
      <w:pPr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十三、废止《秦皇岛市环境噪声污染防治条例》</w:t>
      </w:r>
    </w:p>
    <w:p w14:paraId="0FCE534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本决定自公布之日起施行。</w:t>
      </w:r>
    </w:p>
    <w:p w14:paraId="496F091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秦皇岛市停车场管理条例》《秦皇岛市制定地方性法规条例》《秦皇岛市长城保护条例》《秦皇岛市爱国卫生条例》《秦皇岛市市容管理条例》《秦皇岛市养犬管理条例》《秦皇岛市沿海防护林条例》《秦皇岛市旅游市场条例》《秦皇岛市电力设施保护条例》《秦皇岛市海岸线保护条例》《秦皇岛市物业管理条例》《秦皇岛市文明行为促进条例》根据本决定作相应修改并对条文顺序作相应调整，重新公布。</w:t>
      </w:r>
    </w:p>
    <w:p w14:paraId="5D387C6A">
      <w:pPr>
        <w:pStyle w:val="11"/>
        <w:bidi w:val="0"/>
        <w:rPr>
          <w:rFonts w:hint="eastAsia"/>
          <w:lang w:val="en-US" w:eastAsia="zh-CN"/>
        </w:rPr>
      </w:pPr>
    </w:p>
    <w:sectPr>
      <w:headerReference r:id="rId5" w:type="default"/>
      <w:footerReference r:id="rId7" w:type="default"/>
      <w:headerReference r:id="rId6" w:type="even"/>
      <w:footerReference r:id="rId8" w:type="even"/>
      <w:pgSz w:w="11906" w:h="16838"/>
      <w:pgMar w:top="2098" w:right="1474" w:bottom="1984" w:left="1588" w:header="851" w:footer="1474" w:gutter="0"/>
      <w:lnNumType w:countBy="0"/>
      <w:pgNumType w:fmt="decimal"/>
      <w:cols w:space="0" w:num="1"/>
      <w:docGrid w:type="linesAndChars" w:linePitch="579" w:charSpace="-8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632"/>
      </w:pPr>
      <w:r>
        <w:separator/>
      </w:r>
    </w:p>
  </w:endnote>
  <w:endnote w:type="continuationSeparator" w:id="1">
    <w:p>
      <w:pPr>
        <w:ind w:firstLine="63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C6FEC651-30C8-4F96-B107-27D1680F0C8D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  <w:embedRegular r:id="rId2" w:fontKey="{554B8603-9396-466E-98E5-3506AB721793}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ADCE62">
    <w:pPr>
      <w:tabs>
        <w:tab w:val="center" w:pos="4153"/>
        <w:tab w:val="right" w:pos="8306"/>
      </w:tabs>
      <w:wordWrap w:val="0"/>
      <w:jc w:val="right"/>
      <w:rPr>
        <w:rFonts w:eastAsia="宋体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5D80F9">
                          <w:pPr>
                            <w:tabs>
                              <w:tab w:val="center" w:pos="4153"/>
                              <w:tab w:val="right" w:pos="8306"/>
                            </w:tabs>
                            <w:wordWrap w:val="0"/>
                            <w:jc w:val="right"/>
                          </w:pPr>
                          <w:r>
                            <w:rPr>
                              <w:rFonts w:hint="eastAsia" w:ascii="宋体" w:hAnsi="宋体" w:eastAsia="宋体"/>
                              <w:sz w:val="28"/>
                              <w:szCs w:val="28"/>
                            </w:rPr>
                            <w:t>－</w:t>
                          </w:r>
                          <w:r>
                            <w:rPr>
                              <w:rFonts w:ascii="宋体" w:hAnsi="宋体" w:eastAsia="宋体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eastAsia="宋体"/>
                              <w:sz w:val="28"/>
                              <w:szCs w:val="28"/>
                            </w:rPr>
                            <w:instrText xml:space="preserve">PAGE   \* MERGEFORMAT</w:instrText>
                          </w:r>
                          <w:r>
                            <w:rPr>
                              <w:rFonts w:ascii="宋体" w:hAnsi="宋体" w:eastAsia="宋体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eastAsia="宋体"/>
                              <w:sz w:val="28"/>
                              <w:szCs w:val="28"/>
                              <w:lang w:val="zh-CN"/>
                            </w:rPr>
                            <w:t>1</w:t>
                          </w:r>
                          <w:r>
                            <w:rPr>
                              <w:rFonts w:ascii="宋体" w:hAnsi="宋体" w:eastAsia="宋体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/>
                              <w:sz w:val="28"/>
                              <w:szCs w:val="28"/>
                            </w:rPr>
                            <w:t>－　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75D80F9">
                    <w:pPr>
                      <w:tabs>
                        <w:tab w:val="center" w:pos="4153"/>
                        <w:tab w:val="right" w:pos="8306"/>
                      </w:tabs>
                      <w:wordWrap w:val="0"/>
                      <w:jc w:val="right"/>
                    </w:pPr>
                    <w:r>
                      <w:rPr>
                        <w:rFonts w:hint="eastAsia" w:ascii="宋体" w:hAnsi="宋体" w:eastAsia="宋体"/>
                        <w:sz w:val="28"/>
                        <w:szCs w:val="28"/>
                      </w:rPr>
                      <w:t>－</w:t>
                    </w:r>
                    <w:r>
                      <w:rPr>
                        <w:rFonts w:ascii="宋体" w:hAnsi="宋体" w:eastAsia="宋体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宋体" w:hAnsi="宋体" w:eastAsia="宋体"/>
                        <w:sz w:val="28"/>
                        <w:szCs w:val="28"/>
                      </w:rPr>
                      <w:instrText xml:space="preserve">PAGE   \* MERGEFORMAT</w:instrText>
                    </w:r>
                    <w:r>
                      <w:rPr>
                        <w:rFonts w:ascii="宋体" w:hAnsi="宋体" w:eastAsia="宋体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宋体" w:hAnsi="宋体" w:eastAsia="宋体"/>
                        <w:sz w:val="28"/>
                        <w:szCs w:val="28"/>
                        <w:lang w:val="zh-CN"/>
                      </w:rPr>
                      <w:t>1</w:t>
                    </w:r>
                    <w:r>
                      <w:rPr>
                        <w:rFonts w:ascii="宋体" w:hAnsi="宋体" w:eastAsia="宋体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hint="eastAsia" w:ascii="宋体" w:hAnsi="宋体" w:eastAsia="宋体"/>
                        <w:sz w:val="28"/>
                        <w:szCs w:val="28"/>
                      </w:rPr>
                      <w:t>－　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2F49FF">
    <w:pPr>
      <w:tabs>
        <w:tab w:val="center" w:pos="4153"/>
        <w:tab w:val="right" w:pos="8306"/>
      </w:tabs>
      <w:jc w:val="left"/>
      <w:rPr>
        <w:rFonts w:ascii="宋体" w:hAnsi="宋体" w:eastAsia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790435">
                          <w:pPr>
                            <w:tabs>
                              <w:tab w:val="center" w:pos="4153"/>
                              <w:tab w:val="right" w:pos="8306"/>
                            </w:tabs>
                            <w:jc w:val="left"/>
                          </w:pPr>
                          <w:r>
                            <w:rPr>
                              <w:rFonts w:hint="eastAsia" w:ascii="宋体" w:hAnsi="宋体" w:eastAsia="宋体"/>
                              <w:sz w:val="28"/>
                              <w:szCs w:val="28"/>
                            </w:rPr>
                            <w:t>　－</w:t>
                          </w:r>
                          <w:r>
                            <w:rPr>
                              <w:rFonts w:ascii="宋体" w:hAnsi="宋体" w:eastAsia="宋体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eastAsia="宋体"/>
                              <w:sz w:val="28"/>
                              <w:szCs w:val="28"/>
                            </w:rPr>
                            <w:instrText xml:space="preserve">PAGE   \* MERGEFORMAT</w:instrText>
                          </w:r>
                          <w:r>
                            <w:rPr>
                              <w:rFonts w:ascii="宋体" w:hAnsi="宋体" w:eastAsia="宋体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eastAsia="宋体"/>
                              <w:sz w:val="28"/>
                              <w:szCs w:val="28"/>
                              <w:lang w:val="zh-CN"/>
                            </w:rPr>
                            <w:t>2</w:t>
                          </w:r>
                          <w:r>
                            <w:rPr>
                              <w:rFonts w:ascii="宋体" w:hAnsi="宋体" w:eastAsia="宋体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/>
                              <w:sz w:val="28"/>
                              <w:szCs w:val="28"/>
                            </w:rPr>
                            <w:t>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E790435">
                    <w:pPr>
                      <w:tabs>
                        <w:tab w:val="center" w:pos="4153"/>
                        <w:tab w:val="right" w:pos="8306"/>
                      </w:tabs>
                      <w:jc w:val="left"/>
                    </w:pPr>
                    <w:r>
                      <w:rPr>
                        <w:rFonts w:hint="eastAsia" w:ascii="宋体" w:hAnsi="宋体" w:eastAsia="宋体"/>
                        <w:sz w:val="28"/>
                        <w:szCs w:val="28"/>
                      </w:rPr>
                      <w:t>　－</w:t>
                    </w:r>
                    <w:r>
                      <w:rPr>
                        <w:rFonts w:ascii="宋体" w:hAnsi="宋体" w:eastAsia="宋体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宋体" w:hAnsi="宋体" w:eastAsia="宋体"/>
                        <w:sz w:val="28"/>
                        <w:szCs w:val="28"/>
                      </w:rPr>
                      <w:instrText xml:space="preserve">PAGE   \* MERGEFORMAT</w:instrText>
                    </w:r>
                    <w:r>
                      <w:rPr>
                        <w:rFonts w:ascii="宋体" w:hAnsi="宋体" w:eastAsia="宋体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宋体" w:hAnsi="宋体" w:eastAsia="宋体"/>
                        <w:sz w:val="28"/>
                        <w:szCs w:val="28"/>
                        <w:lang w:val="zh-CN"/>
                      </w:rPr>
                      <w:t>2</w:t>
                    </w:r>
                    <w:r>
                      <w:rPr>
                        <w:rFonts w:ascii="宋体" w:hAnsi="宋体" w:eastAsia="宋体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hint="eastAsia" w:ascii="宋体" w:hAnsi="宋体" w:eastAsia="宋体"/>
                        <w:sz w:val="28"/>
                        <w:szCs w:val="28"/>
                      </w:rPr>
                      <w:t>－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632"/>
      </w:pPr>
      <w:r>
        <w:separator/>
      </w:r>
    </w:p>
  </w:footnote>
  <w:footnote w:type="continuationSeparator" w:id="1">
    <w:p>
      <w:pPr>
        <w:ind w:firstLine="63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7B1C03"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A5F7E7"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mirrorMargin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HorizontalSpacing w:val="158"/>
  <w:drawingGridVerticalSpacing w:val="579"/>
  <w:displayHorizontalDrawingGridEvery w:val="0"/>
  <w:displayVerticalDrawingGridEvery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Y2YzU3OGEzYzE4N2Q4NzRjYjliYjM1OTk3NzMwZWQifQ=="/>
  </w:docVars>
  <w:rsids>
    <w:rsidRoot w:val="080D40AD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2CA9"/>
    <w:rsid w:val="00F7674E"/>
    <w:rsid w:val="00F97604"/>
    <w:rsid w:val="00FA7EE2"/>
    <w:rsid w:val="00FD0030"/>
    <w:rsid w:val="010371AC"/>
    <w:rsid w:val="01490F09"/>
    <w:rsid w:val="01B8473A"/>
    <w:rsid w:val="03AC38D7"/>
    <w:rsid w:val="03F733D5"/>
    <w:rsid w:val="050E300A"/>
    <w:rsid w:val="05500244"/>
    <w:rsid w:val="05EE09DC"/>
    <w:rsid w:val="06436049"/>
    <w:rsid w:val="065A0E1D"/>
    <w:rsid w:val="068E3768"/>
    <w:rsid w:val="06D25372"/>
    <w:rsid w:val="071947CE"/>
    <w:rsid w:val="080D40AD"/>
    <w:rsid w:val="08474F7B"/>
    <w:rsid w:val="08AD6E14"/>
    <w:rsid w:val="08D542F7"/>
    <w:rsid w:val="0AFB0486"/>
    <w:rsid w:val="0BA37602"/>
    <w:rsid w:val="0CFB142B"/>
    <w:rsid w:val="0D9804AC"/>
    <w:rsid w:val="0E3C1CFB"/>
    <w:rsid w:val="0EFF2906"/>
    <w:rsid w:val="0F063405"/>
    <w:rsid w:val="11E4354D"/>
    <w:rsid w:val="125C6E10"/>
    <w:rsid w:val="14515052"/>
    <w:rsid w:val="151350A2"/>
    <w:rsid w:val="16DC7373"/>
    <w:rsid w:val="17E51656"/>
    <w:rsid w:val="183C74C7"/>
    <w:rsid w:val="19DB061A"/>
    <w:rsid w:val="1A9A6727"/>
    <w:rsid w:val="1CD557F5"/>
    <w:rsid w:val="1D291CFB"/>
    <w:rsid w:val="1D4F618B"/>
    <w:rsid w:val="205E01F7"/>
    <w:rsid w:val="20FD0DAB"/>
    <w:rsid w:val="216D06F2"/>
    <w:rsid w:val="21D74D73"/>
    <w:rsid w:val="220A23E4"/>
    <w:rsid w:val="234806C1"/>
    <w:rsid w:val="25973F8F"/>
    <w:rsid w:val="25D30B66"/>
    <w:rsid w:val="2666323B"/>
    <w:rsid w:val="26EE0409"/>
    <w:rsid w:val="293A2EF9"/>
    <w:rsid w:val="29484637"/>
    <w:rsid w:val="2A2102CB"/>
    <w:rsid w:val="2B3B078B"/>
    <w:rsid w:val="2DF31F7F"/>
    <w:rsid w:val="2E681AF4"/>
    <w:rsid w:val="2E72576F"/>
    <w:rsid w:val="2FFB336C"/>
    <w:rsid w:val="308415B4"/>
    <w:rsid w:val="344634A2"/>
    <w:rsid w:val="34C51DA1"/>
    <w:rsid w:val="351F3659"/>
    <w:rsid w:val="3591582E"/>
    <w:rsid w:val="35A26038"/>
    <w:rsid w:val="35AB482D"/>
    <w:rsid w:val="36DA0180"/>
    <w:rsid w:val="37441DBD"/>
    <w:rsid w:val="378116AE"/>
    <w:rsid w:val="385B52F0"/>
    <w:rsid w:val="38C72FA6"/>
    <w:rsid w:val="390C65EA"/>
    <w:rsid w:val="39177242"/>
    <w:rsid w:val="3A606BEE"/>
    <w:rsid w:val="3B1874C8"/>
    <w:rsid w:val="3B9A7E9A"/>
    <w:rsid w:val="3C526A0A"/>
    <w:rsid w:val="3DC01751"/>
    <w:rsid w:val="3DE63740"/>
    <w:rsid w:val="3E182D1C"/>
    <w:rsid w:val="3F1461F9"/>
    <w:rsid w:val="3F5E5951"/>
    <w:rsid w:val="3FEA0D08"/>
    <w:rsid w:val="40302BBE"/>
    <w:rsid w:val="425D1C65"/>
    <w:rsid w:val="42B2200A"/>
    <w:rsid w:val="4499567F"/>
    <w:rsid w:val="44C164DB"/>
    <w:rsid w:val="46891BC8"/>
    <w:rsid w:val="477F442B"/>
    <w:rsid w:val="47C979DB"/>
    <w:rsid w:val="481351D2"/>
    <w:rsid w:val="4860600B"/>
    <w:rsid w:val="4A49144C"/>
    <w:rsid w:val="4AC10542"/>
    <w:rsid w:val="4B0E61F2"/>
    <w:rsid w:val="4BEC7EE1"/>
    <w:rsid w:val="4C294540"/>
    <w:rsid w:val="4E173610"/>
    <w:rsid w:val="502D585B"/>
    <w:rsid w:val="53543565"/>
    <w:rsid w:val="546D287C"/>
    <w:rsid w:val="5507618C"/>
    <w:rsid w:val="557D644E"/>
    <w:rsid w:val="558A062C"/>
    <w:rsid w:val="56345682"/>
    <w:rsid w:val="581C73B8"/>
    <w:rsid w:val="58C3686E"/>
    <w:rsid w:val="59F36CDF"/>
    <w:rsid w:val="5AC8016B"/>
    <w:rsid w:val="5CD03307"/>
    <w:rsid w:val="5FD73625"/>
    <w:rsid w:val="61D729C7"/>
    <w:rsid w:val="622F12CF"/>
    <w:rsid w:val="62F51D1A"/>
    <w:rsid w:val="630C2BBF"/>
    <w:rsid w:val="64596ABE"/>
    <w:rsid w:val="651D7306"/>
    <w:rsid w:val="653E08AD"/>
    <w:rsid w:val="68DD3C63"/>
    <w:rsid w:val="691B497C"/>
    <w:rsid w:val="69B83B3A"/>
    <w:rsid w:val="6B7C3FB8"/>
    <w:rsid w:val="6D176D30"/>
    <w:rsid w:val="6D695DCB"/>
    <w:rsid w:val="6DA51CA6"/>
    <w:rsid w:val="6FB81FF4"/>
    <w:rsid w:val="70822713"/>
    <w:rsid w:val="70A95AA7"/>
    <w:rsid w:val="711F4406"/>
    <w:rsid w:val="71B9247E"/>
    <w:rsid w:val="72A2709C"/>
    <w:rsid w:val="74933140"/>
    <w:rsid w:val="74945ECF"/>
    <w:rsid w:val="74A0585D"/>
    <w:rsid w:val="78CA4C57"/>
    <w:rsid w:val="79681B1A"/>
    <w:rsid w:val="7A805F15"/>
    <w:rsid w:val="7A861051"/>
    <w:rsid w:val="7B9F686F"/>
    <w:rsid w:val="7BCE0F02"/>
    <w:rsid w:val="7C3A702B"/>
    <w:rsid w:val="7C4A4A2C"/>
    <w:rsid w:val="7C572CA5"/>
    <w:rsid w:val="7D4C0330"/>
    <w:rsid w:val="7DAB14FB"/>
    <w:rsid w:val="7EDC56E4"/>
    <w:rsid w:val="7EF639AA"/>
    <w:rsid w:val="7F341F96"/>
    <w:rsid w:val="7F47D4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32" w:firstLineChars="200"/>
      <w:jc w:val="left"/>
    </w:pPr>
    <w:rPr>
      <w:rFonts w:ascii="Times New Roman" w:hAnsi="Times New Roman" w:eastAsia="仿宋_GB2312" w:cs="仿宋_GB2312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0"/>
      </w:numPr>
      <w:spacing w:beforeLines="0" w:beforeAutospacing="0" w:afterLines="0" w:afterAutospacing="0" w:line="240" w:lineRule="auto"/>
      <w:ind w:left="0" w:firstLine="0"/>
      <w:jc w:val="center"/>
      <w:outlineLvl w:val="0"/>
    </w:pPr>
    <w:rPr>
      <w:rFonts w:ascii="Times New Roman" w:hAnsi="Times New Roman" w:eastAsia="宋体"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Lines="0" w:beforeAutospacing="0" w:afterLines="0" w:afterAutospacing="0" w:line="240" w:lineRule="auto"/>
      <w:jc w:val="left"/>
      <w:outlineLvl w:val="1"/>
    </w:pPr>
    <w:rPr>
      <w:rFonts w:ascii="Arial" w:hAnsi="Arial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line="240" w:lineRule="auto"/>
      <w:jc w:val="left"/>
      <w:outlineLvl w:val="2"/>
    </w:pPr>
    <w:rPr>
      <w:bCs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line="240" w:lineRule="auto"/>
      <w:jc w:val="left"/>
      <w:outlineLvl w:val="3"/>
    </w:pPr>
    <w:rPr>
      <w:rFonts w:ascii="Cambria" w:hAnsi="Cambria" w:eastAsia="宋体"/>
      <w:bCs/>
      <w:szCs w:val="28"/>
    </w:rPr>
  </w:style>
  <w:style w:type="character" w:default="1" w:styleId="9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customStyle="1" w:styleId="10">
    <w:name w:val="ab-法规题注"/>
    <w:basedOn w:val="1"/>
    <w:qFormat/>
    <w:uiPriority w:val="0"/>
    <w:pPr>
      <w:ind w:left="0" w:leftChars="0" w:right="0" w:rightChars="0" w:firstLine="0" w:firstLineChars="0"/>
      <w:jc w:val="center"/>
    </w:pPr>
    <w:rPr>
      <w:rFonts w:ascii="Times New Roman" w:hAnsi="Times New Roman" w:eastAsia="楷体_GB2312"/>
    </w:rPr>
  </w:style>
  <w:style w:type="paragraph" w:customStyle="1" w:styleId="11">
    <w:name w:val="af-法规空行"/>
    <w:basedOn w:val="1"/>
    <w:next w:val="1"/>
    <w:qFormat/>
    <w:uiPriority w:val="0"/>
    <w:rPr>
      <w:rFonts w:hint="eastAsia" w:eastAsia="宋体"/>
    </w:rPr>
  </w:style>
  <w:style w:type="paragraph" w:customStyle="1" w:styleId="12">
    <w:name w:val="ac-修改多个文件标题"/>
    <w:basedOn w:val="1"/>
    <w:qFormat/>
    <w:uiPriority w:val="0"/>
    <w:rPr>
      <w:rFonts w:hint="eastAsia" w:eastAsia="黑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5968;&#23383;&#37096;2020-2022\&#20854;&#20182;&#24037;&#20316;\2024&#30003;&#35831;&#27861;&#35268;&#24211;&#39033;&#30446;\&#27169;&#26495;\&#27861;&#35268;&#25991;&#26412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法规文本模板.wpt</Template>
  <Pages>8</Pages>
  <Words>3603</Words>
  <Characters>3611</Characters>
  <Lines>0</Lines>
  <Paragraphs>0</Paragraphs>
  <TotalTime>157</TotalTime>
  <ScaleCrop>false</ScaleCrop>
  <LinksUpToDate>false</LinksUpToDate>
  <CharactersWithSpaces>3612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2024-08-01T00:27:00Z</dcterms:created>
  <dc:creator>马儿</dc:creator>
  <cp:lastModifiedBy>晓涵</cp:lastModifiedBy>
  <dcterms:modified xsi:type="dcterms:W3CDTF">2024-09-20T02:12:35Z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EEF11E5F7B52446D9DD2599BD86D8E5E_13</vt:lpwstr>
  </property>
  <property fmtid="{D5CDD505-2E9C-101B-9397-08002B2CF9AE}" pid="3" name="KSOProductBuildVer">
    <vt:lpwstr>2052-12.1.0.18276</vt:lpwstr>
  </property>
</Properties>
</file>