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eastAsia" w:asciiTheme="majorEastAsia" w:hAnsiTheme="majorEastAsia" w:eastAsiaTheme="majorEastAsia" w:cstheme="majorEastAsia"/>
          <w:sz w:val="32"/>
          <w:szCs w:val="32"/>
        </w:rPr>
      </w:pPr>
    </w:p>
    <w:p>
      <w:pPr>
        <w:rPr>
          <w:rFonts w:hint="eastAsia" w:asciiTheme="majorEastAsia" w:hAnsiTheme="majorEastAsia" w:eastAsiaTheme="majorEastAsia" w:cstheme="majorEastAsia"/>
          <w:sz w:val="32"/>
          <w:szCs w:val="32"/>
        </w:rPr>
      </w:pPr>
    </w:p>
    <w:p>
      <w:pPr>
        <w:jc w:val="center"/>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南阳市城市绿化条例</w:t>
      </w:r>
    </w:p>
    <w:p>
      <w:pPr>
        <w:jc w:val="center"/>
        <w:rPr>
          <w:rFonts w:hint="eastAsia" w:asciiTheme="majorEastAsia" w:hAnsiTheme="majorEastAsia" w:eastAsiaTheme="majorEastAsia" w:cstheme="majorEastAsia"/>
          <w:szCs w:val="32"/>
        </w:rPr>
      </w:pPr>
    </w:p>
    <w:p>
      <w:pPr>
        <w:ind w:firstLine="632" w:firstLineChars="200"/>
        <w:jc w:val="both"/>
        <w:rPr>
          <w:rFonts w:hint="eastAsia" w:ascii="楷体_GB2312" w:eastAsia="楷体_GB2312"/>
          <w:szCs w:val="32"/>
        </w:rPr>
      </w:pPr>
      <w:r>
        <w:rPr>
          <w:rFonts w:hint="eastAsia" w:ascii="楷体_GB2312" w:eastAsia="楷体_GB2312"/>
          <w:szCs w:val="32"/>
        </w:rPr>
        <w:t>（2017年8月31日南阳市第五届人民代表大会常务委</w:t>
      </w:r>
    </w:p>
    <w:p>
      <w:pPr>
        <w:ind w:firstLine="632" w:firstLineChars="200"/>
        <w:jc w:val="both"/>
        <w:rPr>
          <w:rFonts w:hint="eastAsia" w:ascii="楷体_GB2312" w:eastAsia="楷体_GB2312"/>
          <w:szCs w:val="32"/>
        </w:rPr>
      </w:pPr>
      <w:r>
        <w:rPr>
          <w:rFonts w:hint="eastAsia" w:ascii="楷体_GB2312" w:eastAsia="楷体_GB2312"/>
          <w:szCs w:val="32"/>
        </w:rPr>
        <w:t>员会第二十八次会议通过</w:t>
      </w:r>
      <w:r>
        <w:rPr>
          <w:rFonts w:hint="eastAsia" w:ascii="楷体_GB2312" w:eastAsia="楷体_GB2312"/>
          <w:szCs w:val="32"/>
          <w:lang w:val="en-US" w:eastAsia="zh-CN"/>
        </w:rPr>
        <w:t xml:space="preserve">  </w:t>
      </w:r>
      <w:r>
        <w:rPr>
          <w:rFonts w:hint="eastAsia" w:ascii="楷体_GB2312" w:eastAsia="楷体_GB2312"/>
          <w:szCs w:val="32"/>
        </w:rPr>
        <w:t>2017年9月29日河南省第</w:t>
      </w:r>
    </w:p>
    <w:p>
      <w:pPr>
        <w:ind w:firstLine="632" w:firstLineChars="200"/>
        <w:jc w:val="both"/>
        <w:rPr>
          <w:rFonts w:hint="eastAsia" w:ascii="楷体_GB2312" w:eastAsia="楷体_GB2312"/>
          <w:szCs w:val="32"/>
        </w:rPr>
      </w:pPr>
      <w:r>
        <w:rPr>
          <w:rFonts w:hint="eastAsia" w:ascii="楷体_GB2312" w:eastAsia="楷体_GB2312"/>
          <w:szCs w:val="32"/>
        </w:rPr>
        <w:t>十二届人民代表大会常务委员会第三十一次会议批准）</w:t>
      </w:r>
    </w:p>
    <w:p>
      <w:pPr>
        <w:rPr>
          <w:rFonts w:hint="eastAsia" w:ascii="仿宋_GB2312"/>
          <w:szCs w:val="32"/>
        </w:rPr>
      </w:pPr>
    </w:p>
    <w:p>
      <w:pPr>
        <w:jc w:val="center"/>
        <w:rPr>
          <w:rFonts w:hint="eastAsia" w:ascii="楷体_GB2312" w:eastAsia="楷体_GB2312"/>
          <w:szCs w:val="32"/>
        </w:rPr>
      </w:pPr>
      <w:r>
        <w:rPr>
          <w:rFonts w:hint="eastAsia" w:ascii="楷体_GB2312" w:eastAsia="楷体_GB2312"/>
          <w:szCs w:val="32"/>
        </w:rPr>
        <w:t>目    录</w:t>
      </w:r>
    </w:p>
    <w:p>
      <w:pPr>
        <w:ind w:firstLine="632" w:firstLineChars="200"/>
        <w:rPr>
          <w:rFonts w:hint="eastAsia" w:ascii="楷体_GB2312" w:eastAsia="楷体_GB2312"/>
          <w:szCs w:val="32"/>
        </w:rPr>
      </w:pPr>
      <w:r>
        <w:rPr>
          <w:rFonts w:hint="eastAsia" w:ascii="楷体_GB2312" w:eastAsia="楷体_GB2312"/>
          <w:szCs w:val="32"/>
        </w:rPr>
        <w:t>第一章  总则</w:t>
      </w:r>
    </w:p>
    <w:p>
      <w:pPr>
        <w:ind w:firstLine="632" w:firstLineChars="200"/>
        <w:rPr>
          <w:rFonts w:hint="eastAsia" w:ascii="楷体_GB2312" w:eastAsia="楷体_GB2312"/>
          <w:szCs w:val="32"/>
        </w:rPr>
      </w:pPr>
      <w:r>
        <w:rPr>
          <w:rFonts w:hint="eastAsia" w:ascii="楷体_GB2312" w:eastAsia="楷体_GB2312"/>
          <w:szCs w:val="32"/>
        </w:rPr>
        <w:t>第二章  规划与建设</w:t>
      </w:r>
    </w:p>
    <w:p>
      <w:pPr>
        <w:ind w:firstLine="632" w:firstLineChars="200"/>
        <w:rPr>
          <w:rFonts w:hint="eastAsia" w:ascii="楷体_GB2312" w:eastAsia="楷体_GB2312"/>
          <w:szCs w:val="32"/>
        </w:rPr>
      </w:pPr>
      <w:r>
        <w:rPr>
          <w:rFonts w:hint="eastAsia" w:ascii="楷体_GB2312" w:eastAsia="楷体_GB2312"/>
          <w:szCs w:val="32"/>
        </w:rPr>
        <w:t>第三章  保护与管理</w:t>
      </w:r>
    </w:p>
    <w:p>
      <w:pPr>
        <w:ind w:firstLine="632" w:firstLineChars="200"/>
        <w:rPr>
          <w:rFonts w:hint="eastAsia" w:ascii="楷体_GB2312" w:eastAsia="楷体_GB2312"/>
          <w:szCs w:val="32"/>
        </w:rPr>
      </w:pPr>
      <w:r>
        <w:rPr>
          <w:rFonts w:hint="eastAsia" w:ascii="楷体_GB2312" w:eastAsia="楷体_GB2312"/>
          <w:szCs w:val="32"/>
        </w:rPr>
        <w:t>第四章  法律责任</w:t>
      </w:r>
    </w:p>
    <w:p>
      <w:pPr>
        <w:ind w:firstLine="632" w:firstLineChars="200"/>
        <w:rPr>
          <w:rFonts w:hint="eastAsia" w:ascii="楷体_GB2312" w:eastAsia="楷体_GB2312"/>
          <w:szCs w:val="32"/>
        </w:rPr>
      </w:pPr>
      <w:r>
        <w:rPr>
          <w:rFonts w:hint="eastAsia" w:ascii="楷体_GB2312" w:eastAsia="楷体_GB2312"/>
          <w:szCs w:val="32"/>
        </w:rPr>
        <w:t xml:space="preserve">第五章 </w:t>
      </w:r>
      <w:r>
        <w:rPr>
          <w:rFonts w:hint="eastAsia" w:ascii="楷体_GB2312" w:eastAsia="楷体_GB2312"/>
          <w:szCs w:val="32"/>
          <w:lang w:val="en-US" w:eastAsia="zh-CN"/>
        </w:rPr>
        <w:t xml:space="preserve"> </w:t>
      </w:r>
      <w:r>
        <w:rPr>
          <w:rFonts w:hint="eastAsia" w:ascii="楷体_GB2312" w:eastAsia="楷体_GB2312"/>
          <w:szCs w:val="32"/>
        </w:rPr>
        <w:t>附则</w:t>
      </w:r>
    </w:p>
    <w:p>
      <w:pPr>
        <w:rPr>
          <w:rFonts w:hint="eastAsia" w:ascii="仿宋_GB2312"/>
          <w:szCs w:val="32"/>
        </w:rPr>
      </w:pPr>
    </w:p>
    <w:p>
      <w:pPr>
        <w:pStyle w:val="6"/>
        <w:numPr>
          <w:ilvl w:val="0"/>
          <w:numId w:val="1"/>
        </w:numPr>
        <w:ind w:firstLineChars="0"/>
        <w:jc w:val="center"/>
        <w:rPr>
          <w:rFonts w:hint="eastAsia" w:ascii="黑体" w:eastAsia="黑体"/>
          <w:szCs w:val="32"/>
        </w:rPr>
      </w:pPr>
      <w:r>
        <w:rPr>
          <w:rFonts w:hint="eastAsia" w:ascii="黑体" w:eastAsia="黑体"/>
          <w:szCs w:val="32"/>
        </w:rPr>
        <w:t xml:space="preserve"> 总则</w:t>
      </w:r>
    </w:p>
    <w:p>
      <w:pPr>
        <w:rPr>
          <w:rFonts w:hint="eastAsia" w:ascii="仿宋_GB2312"/>
          <w:szCs w:val="32"/>
        </w:rPr>
      </w:pPr>
    </w:p>
    <w:p>
      <w:pPr>
        <w:ind w:firstLine="632" w:firstLineChars="200"/>
        <w:rPr>
          <w:rFonts w:hint="eastAsia" w:ascii="仿宋_GB2312"/>
          <w:szCs w:val="32"/>
        </w:rPr>
      </w:pPr>
      <w:r>
        <w:rPr>
          <w:rFonts w:hint="eastAsia" w:ascii="黑体" w:eastAsia="黑体"/>
          <w:szCs w:val="32"/>
        </w:rPr>
        <w:t>第一条</w:t>
      </w:r>
      <w:r>
        <w:rPr>
          <w:rFonts w:hint="eastAsia" w:ascii="黑体" w:eastAsia="黑体"/>
          <w:szCs w:val="32"/>
          <w:lang w:val="en-US" w:eastAsia="zh-CN"/>
        </w:rPr>
        <w:t xml:space="preserve">  </w:t>
      </w:r>
      <w:r>
        <w:rPr>
          <w:rFonts w:hint="eastAsia" w:ascii="仿宋_GB2312"/>
          <w:szCs w:val="32"/>
        </w:rPr>
        <w:t>为了促进城市绿化事业发展，保护和改善生态环境，建设绿色宜居城市，增进人民身心健康，根据国务院《城市绿化条例》及有关法律、法规，结合本市实际，制定本条例。</w:t>
      </w:r>
    </w:p>
    <w:p>
      <w:pPr>
        <w:ind w:firstLine="632" w:firstLineChars="200"/>
        <w:rPr>
          <w:rFonts w:hint="eastAsia" w:ascii="仿宋_GB2312"/>
          <w:szCs w:val="32"/>
        </w:rPr>
      </w:pPr>
      <w:r>
        <w:rPr>
          <w:rFonts w:hint="eastAsia" w:ascii="黑体" w:eastAsia="黑体"/>
          <w:szCs w:val="32"/>
        </w:rPr>
        <w:t>第二条</w:t>
      </w:r>
      <w:r>
        <w:rPr>
          <w:rFonts w:hint="eastAsia" w:ascii="仿宋_GB2312"/>
          <w:szCs w:val="32"/>
        </w:rPr>
        <w:t xml:space="preserve">  本条例适用于本市城市规划区、县（市）人民政府所在地规划区的城市绿化规划、建设、保护与管理。</w:t>
      </w:r>
    </w:p>
    <w:p>
      <w:pPr>
        <w:ind w:firstLine="632" w:firstLineChars="200"/>
        <w:rPr>
          <w:rFonts w:hint="eastAsia" w:ascii="仿宋_GB2312"/>
          <w:szCs w:val="32"/>
        </w:rPr>
      </w:pPr>
      <w:r>
        <w:rPr>
          <w:rFonts w:hint="eastAsia" w:ascii="黑体" w:eastAsia="黑体"/>
          <w:szCs w:val="32"/>
        </w:rPr>
        <w:t>第三条</w:t>
      </w:r>
      <w:r>
        <w:rPr>
          <w:rFonts w:hint="eastAsia" w:ascii="仿宋_GB2312"/>
          <w:szCs w:val="32"/>
        </w:rPr>
        <w:t xml:space="preserve">  市、县（市、区）人民政府应当加强对城市绿化工作的领导，将城市绿化建设纳入国民经济和社会发展规划及年度计划，制定城市绿化发展目标，保障城市绿化建设和养护所需资金。</w:t>
      </w:r>
    </w:p>
    <w:p>
      <w:pPr>
        <w:ind w:firstLine="632" w:firstLineChars="200"/>
        <w:rPr>
          <w:rFonts w:hint="eastAsia" w:ascii="仿宋_GB2312"/>
          <w:szCs w:val="32"/>
        </w:rPr>
      </w:pPr>
      <w:r>
        <w:rPr>
          <w:rFonts w:hint="eastAsia" w:ascii="黑体" w:eastAsia="黑体"/>
          <w:szCs w:val="32"/>
        </w:rPr>
        <w:t>第四条</w:t>
      </w:r>
      <w:r>
        <w:rPr>
          <w:rFonts w:hint="eastAsia" w:ascii="仿宋_GB2312"/>
          <w:szCs w:val="32"/>
        </w:rPr>
        <w:t xml:space="preserve">  市城市绿化行政主管部门负责本市行政区域内的城市绿化工作。</w:t>
      </w:r>
    </w:p>
    <w:p>
      <w:pPr>
        <w:ind w:firstLine="632" w:firstLineChars="200"/>
        <w:rPr>
          <w:rFonts w:hint="eastAsia" w:ascii="仿宋_GB2312"/>
          <w:szCs w:val="32"/>
        </w:rPr>
      </w:pPr>
      <w:r>
        <w:rPr>
          <w:rFonts w:hint="eastAsia" w:ascii="仿宋_GB2312"/>
          <w:szCs w:val="32"/>
        </w:rPr>
        <w:t>县（市、区）城市绿化行政主管部门按照职责分工负责本行政区域内的城市绿化工作。</w:t>
      </w:r>
    </w:p>
    <w:p>
      <w:pPr>
        <w:ind w:firstLine="632" w:firstLineChars="200"/>
        <w:rPr>
          <w:rFonts w:hint="eastAsia" w:ascii="仿宋_GB2312"/>
          <w:szCs w:val="32"/>
        </w:rPr>
      </w:pPr>
      <w:r>
        <w:rPr>
          <w:rFonts w:hint="eastAsia" w:ascii="仿宋_GB2312"/>
          <w:szCs w:val="32"/>
        </w:rPr>
        <w:t>城市管理综合执法部门依法对损害城市绿化的行为进行查处。</w:t>
      </w:r>
    </w:p>
    <w:p>
      <w:pPr>
        <w:ind w:firstLine="632" w:firstLineChars="200"/>
        <w:rPr>
          <w:rFonts w:hint="eastAsia" w:ascii="仿宋_GB2312"/>
          <w:szCs w:val="32"/>
        </w:rPr>
      </w:pPr>
      <w:r>
        <w:rPr>
          <w:rFonts w:hint="eastAsia" w:ascii="仿宋_GB2312"/>
          <w:szCs w:val="32"/>
        </w:rPr>
        <w:t>在城市规划区内，有关法律、法规规定由林业、交通等主管部门管理的绿化工作，依照有关法律、法规执行。</w:t>
      </w:r>
    </w:p>
    <w:p>
      <w:pPr>
        <w:ind w:firstLine="632" w:firstLineChars="200"/>
        <w:rPr>
          <w:rFonts w:hint="eastAsia" w:ascii="仿宋_GB2312"/>
          <w:szCs w:val="32"/>
        </w:rPr>
      </w:pPr>
      <w:r>
        <w:rPr>
          <w:rFonts w:hint="eastAsia" w:ascii="黑体" w:eastAsia="黑体"/>
          <w:szCs w:val="32"/>
        </w:rPr>
        <w:t xml:space="preserve">第五条 </w:t>
      </w:r>
      <w:r>
        <w:rPr>
          <w:rFonts w:hint="eastAsia" w:ascii="仿宋_GB2312"/>
          <w:szCs w:val="32"/>
        </w:rPr>
        <w:t xml:space="preserve"> 城市绿化应当坚持生态优先、科学规划、全民参与、共建共享的原则，发挥城市绿地的生态保护、园林景观、休闲游憩、文化传承、科普教育、防灾避险等功能。</w:t>
      </w:r>
    </w:p>
    <w:p>
      <w:pPr>
        <w:ind w:firstLine="632" w:firstLineChars="200"/>
        <w:rPr>
          <w:rFonts w:hint="eastAsia" w:ascii="仿宋_GB2312"/>
          <w:szCs w:val="32"/>
        </w:rPr>
      </w:pPr>
      <w:r>
        <w:rPr>
          <w:rFonts w:hint="eastAsia" w:ascii="仿宋_GB2312"/>
          <w:szCs w:val="32"/>
        </w:rPr>
        <w:t>城市绿化行政主管部门应当加强城市绿化的科学研究，推广使用绿化建设和养护先进技术，建设海绵型、节约型城市绿地。</w:t>
      </w:r>
    </w:p>
    <w:p>
      <w:pPr>
        <w:ind w:firstLine="632" w:firstLineChars="200"/>
        <w:rPr>
          <w:rFonts w:hint="eastAsia" w:ascii="仿宋_GB2312"/>
          <w:szCs w:val="32"/>
        </w:rPr>
      </w:pPr>
      <w:r>
        <w:rPr>
          <w:rFonts w:hint="eastAsia" w:ascii="黑体" w:eastAsia="黑体"/>
          <w:szCs w:val="32"/>
        </w:rPr>
        <w:t>第六条</w:t>
      </w:r>
      <w:r>
        <w:rPr>
          <w:rFonts w:hint="eastAsia" w:ascii="仿宋_GB2312"/>
          <w:szCs w:val="32"/>
        </w:rPr>
        <w:t xml:space="preserve">  市、县（市、区）人民政府应当组织开展全民义务植树活动和群众性绿化工作。</w:t>
      </w:r>
    </w:p>
    <w:p>
      <w:pPr>
        <w:ind w:firstLine="632" w:firstLineChars="200"/>
        <w:rPr>
          <w:rFonts w:hint="eastAsia" w:ascii="仿宋_GB2312"/>
          <w:szCs w:val="32"/>
        </w:rPr>
      </w:pPr>
      <w:r>
        <w:rPr>
          <w:rFonts w:hint="eastAsia" w:ascii="仿宋_GB2312"/>
          <w:szCs w:val="32"/>
        </w:rPr>
        <w:t>鼓励开展园林城镇、园林单位、园林小区和优质园林工程创建活动。鼓励居民利用自有居住空间进行绿化。</w:t>
      </w:r>
    </w:p>
    <w:p>
      <w:pPr>
        <w:ind w:firstLine="632" w:firstLineChars="200"/>
        <w:rPr>
          <w:rFonts w:hint="eastAsia" w:ascii="仿宋_GB2312"/>
          <w:szCs w:val="32"/>
        </w:rPr>
      </w:pPr>
      <w:r>
        <w:rPr>
          <w:rFonts w:hint="eastAsia" w:ascii="仿宋_GB2312"/>
          <w:szCs w:val="32"/>
        </w:rPr>
        <w:t>市、县（市、区）人民政府应当对城市绿化工作中成绩显著的单位和个人给予表彰和奖励。</w:t>
      </w:r>
    </w:p>
    <w:p>
      <w:pPr>
        <w:ind w:firstLine="632" w:firstLineChars="200"/>
        <w:rPr>
          <w:rFonts w:hint="eastAsia" w:ascii="仿宋_GB2312"/>
          <w:szCs w:val="32"/>
        </w:rPr>
      </w:pPr>
    </w:p>
    <w:p>
      <w:pPr>
        <w:pStyle w:val="6"/>
        <w:numPr>
          <w:ilvl w:val="0"/>
          <w:numId w:val="1"/>
        </w:numPr>
        <w:ind w:firstLineChars="0"/>
        <w:jc w:val="center"/>
        <w:rPr>
          <w:rFonts w:hint="eastAsia" w:ascii="黑体" w:eastAsia="黑体"/>
          <w:szCs w:val="32"/>
        </w:rPr>
      </w:pPr>
      <w:r>
        <w:rPr>
          <w:rFonts w:hint="eastAsia" w:ascii="黑体" w:eastAsia="黑体"/>
          <w:szCs w:val="32"/>
        </w:rPr>
        <w:t xml:space="preserve"> 规划与建设</w:t>
      </w:r>
    </w:p>
    <w:p>
      <w:pPr>
        <w:rPr>
          <w:rFonts w:hint="eastAsia" w:ascii="仿宋_GB2312"/>
          <w:szCs w:val="32"/>
        </w:rPr>
      </w:pPr>
    </w:p>
    <w:p>
      <w:pPr>
        <w:ind w:firstLine="632" w:firstLineChars="200"/>
        <w:rPr>
          <w:rFonts w:hint="eastAsia" w:ascii="仿宋_GB2312"/>
          <w:szCs w:val="32"/>
        </w:rPr>
      </w:pPr>
      <w:r>
        <w:rPr>
          <w:rFonts w:hint="eastAsia" w:ascii="黑体" w:eastAsia="黑体"/>
          <w:szCs w:val="32"/>
        </w:rPr>
        <w:t xml:space="preserve">第七条 </w:t>
      </w:r>
      <w:r>
        <w:rPr>
          <w:rFonts w:hint="eastAsia" w:ascii="仿宋_GB2312"/>
          <w:szCs w:val="32"/>
        </w:rPr>
        <w:t xml:space="preserve"> 市、县（市）人民政府应当组织城市绿化行政主管部门和城乡规划主管部门等共同编制城市绿地系统规划，纳入城市总体规划。</w:t>
      </w:r>
    </w:p>
    <w:p>
      <w:pPr>
        <w:ind w:firstLine="632" w:firstLineChars="200"/>
        <w:rPr>
          <w:rFonts w:hint="eastAsia" w:ascii="仿宋_GB2312"/>
          <w:szCs w:val="32"/>
        </w:rPr>
      </w:pPr>
      <w:r>
        <w:rPr>
          <w:rFonts w:hint="eastAsia" w:ascii="黑体" w:eastAsia="黑体"/>
          <w:szCs w:val="32"/>
        </w:rPr>
        <w:t xml:space="preserve">第八条 </w:t>
      </w:r>
      <w:r>
        <w:rPr>
          <w:rFonts w:hint="eastAsia" w:ascii="仿宋_GB2312"/>
          <w:szCs w:val="32"/>
        </w:rPr>
        <w:t xml:space="preserve"> 市、县（市）城乡规划主管部门、城市绿化行政主管部门根据城市绿地系统规划、控制性详细规划和城市绿化现状，确定各类城市绿线，经依法批准后向社会公布。</w:t>
      </w:r>
    </w:p>
    <w:p>
      <w:pPr>
        <w:ind w:firstLine="632" w:firstLineChars="200"/>
        <w:rPr>
          <w:rFonts w:hint="eastAsia" w:ascii="仿宋_GB2312"/>
          <w:szCs w:val="32"/>
        </w:rPr>
      </w:pPr>
      <w:r>
        <w:rPr>
          <w:rFonts w:hint="eastAsia" w:ascii="仿宋_GB2312"/>
          <w:szCs w:val="32"/>
        </w:rPr>
        <w:t>城市绿线经批准后，不得擅自调整；因重大市政基础设施建设等需要调整的，应当按照审批程序报批。</w:t>
      </w:r>
    </w:p>
    <w:p>
      <w:pPr>
        <w:ind w:firstLine="632" w:firstLineChars="200"/>
        <w:rPr>
          <w:rFonts w:hint="eastAsia" w:ascii="仿宋_GB2312"/>
          <w:szCs w:val="32"/>
        </w:rPr>
      </w:pPr>
      <w:r>
        <w:rPr>
          <w:rFonts w:hint="eastAsia" w:ascii="黑体" w:eastAsia="黑体"/>
          <w:szCs w:val="32"/>
        </w:rPr>
        <w:t xml:space="preserve">第九条 </w:t>
      </w:r>
      <w:r>
        <w:rPr>
          <w:rFonts w:hint="eastAsia" w:ascii="仿宋_GB2312"/>
          <w:szCs w:val="32"/>
        </w:rPr>
        <w:t xml:space="preserve"> 城市规划和建设应当按照规定预留绿化用地。</w:t>
      </w:r>
    </w:p>
    <w:p>
      <w:pPr>
        <w:ind w:firstLine="632" w:firstLineChars="200"/>
        <w:rPr>
          <w:rFonts w:hint="eastAsia" w:ascii="仿宋_GB2312"/>
          <w:szCs w:val="32"/>
        </w:rPr>
      </w:pPr>
      <w:r>
        <w:rPr>
          <w:rFonts w:hint="eastAsia" w:ascii="仿宋_GB2312"/>
          <w:szCs w:val="32"/>
        </w:rPr>
        <w:t>新建区的绿地面积，应当占总用地面积的百分之三十五以上；改建旧城区的绿地面积，应当占总用地面积的百分之二十五以上。</w:t>
      </w:r>
    </w:p>
    <w:p>
      <w:pPr>
        <w:ind w:firstLine="632" w:firstLineChars="200"/>
        <w:rPr>
          <w:rFonts w:hint="eastAsia" w:ascii="仿宋_GB2312"/>
          <w:szCs w:val="32"/>
        </w:rPr>
      </w:pPr>
      <w:r>
        <w:rPr>
          <w:rFonts w:hint="eastAsia" w:ascii="仿宋_GB2312"/>
          <w:szCs w:val="32"/>
        </w:rPr>
        <w:t>新建区每十平方公里应当规划预留至少一处占地面积十万平方米以上的综合性公园绿地用地，每一平方公里应当规划预留至少一处占地面积五千平方米以上的公园绿地用地。</w:t>
      </w:r>
    </w:p>
    <w:p>
      <w:pPr>
        <w:ind w:firstLine="632" w:firstLineChars="200"/>
        <w:rPr>
          <w:rFonts w:hint="eastAsia" w:ascii="仿宋_GB2312"/>
          <w:szCs w:val="32"/>
        </w:rPr>
      </w:pPr>
      <w:r>
        <w:rPr>
          <w:rFonts w:hint="eastAsia" w:ascii="黑体" w:eastAsia="黑体"/>
          <w:szCs w:val="32"/>
        </w:rPr>
        <w:t>第十条</w:t>
      </w:r>
      <w:r>
        <w:rPr>
          <w:rFonts w:hint="eastAsia" w:ascii="仿宋_GB2312"/>
          <w:szCs w:val="32"/>
        </w:rPr>
        <w:t xml:space="preserve">  建设工程项目应当规划配套附属绿化用地，其绿地率应当达到下列标准：</w:t>
      </w:r>
    </w:p>
    <w:p>
      <w:pPr>
        <w:ind w:firstLine="632" w:firstLineChars="200"/>
        <w:rPr>
          <w:rFonts w:hint="eastAsia" w:ascii="仿宋_GB2312"/>
          <w:szCs w:val="32"/>
        </w:rPr>
      </w:pPr>
      <w:r>
        <w:rPr>
          <w:rFonts w:hint="eastAsia" w:ascii="仿宋_GB2312"/>
          <w:szCs w:val="32"/>
        </w:rPr>
        <w:t>（一）新建居住区（含居住区、居住小区、居住组团）绿地率不低于百分之三十五，其中中心绿地的设置按照国家有关规范执行；</w:t>
      </w:r>
    </w:p>
    <w:p>
      <w:pPr>
        <w:ind w:firstLine="632" w:firstLineChars="200"/>
        <w:rPr>
          <w:rFonts w:hint="eastAsia" w:ascii="仿宋_GB2312"/>
          <w:szCs w:val="32"/>
        </w:rPr>
      </w:pPr>
      <w:r>
        <w:rPr>
          <w:rFonts w:hint="eastAsia" w:ascii="仿宋_GB2312"/>
          <w:szCs w:val="32"/>
        </w:rPr>
        <w:t>（二）新建单位附属绿地率不低于百分之三十五，其中机关团体、公共文化设施、高等院校、宾馆、医疗、养老机构不低于百分之四十；</w:t>
      </w:r>
    </w:p>
    <w:p>
      <w:pPr>
        <w:ind w:firstLine="632" w:firstLineChars="200"/>
        <w:rPr>
          <w:rFonts w:hint="eastAsia" w:ascii="仿宋_GB2312"/>
          <w:szCs w:val="32"/>
        </w:rPr>
      </w:pPr>
      <w:r>
        <w:rPr>
          <w:rFonts w:hint="eastAsia" w:ascii="仿宋_GB2312"/>
          <w:szCs w:val="32"/>
        </w:rPr>
        <w:t>（三）园林景观路绿地率不低于百分之四十，红线宽度大于五十米的道路绿地率不低于百分之三十，红线宽度在四十至五十米的道路绿地率不低于百分之二十五，红线宽度小于四十米的道路绿地率不低于百分之二十；</w:t>
      </w:r>
    </w:p>
    <w:p>
      <w:pPr>
        <w:ind w:firstLine="632" w:firstLineChars="200"/>
        <w:rPr>
          <w:rFonts w:hint="eastAsia" w:ascii="仿宋_GB2312"/>
          <w:szCs w:val="32"/>
        </w:rPr>
      </w:pPr>
      <w:r>
        <w:rPr>
          <w:rFonts w:hint="eastAsia" w:ascii="仿宋_GB2312"/>
          <w:szCs w:val="32"/>
        </w:rPr>
        <w:t>（四）其他建设项目的绿地率标准按照国家有关规定执行。</w:t>
      </w:r>
    </w:p>
    <w:p>
      <w:pPr>
        <w:ind w:firstLine="632" w:firstLineChars="200"/>
        <w:rPr>
          <w:rFonts w:hint="eastAsia" w:ascii="仿宋_GB2312"/>
          <w:szCs w:val="32"/>
        </w:rPr>
      </w:pPr>
      <w:r>
        <w:rPr>
          <w:rFonts w:hint="eastAsia" w:ascii="仿宋_GB2312"/>
          <w:szCs w:val="32"/>
        </w:rPr>
        <w:t>本条第一款第一项、第二项、第三项规定属于旧城区改造的，其绿地率可以降低五个百分点。</w:t>
      </w:r>
    </w:p>
    <w:p>
      <w:pPr>
        <w:ind w:firstLine="632" w:firstLineChars="200"/>
        <w:rPr>
          <w:rFonts w:hint="eastAsia" w:ascii="仿宋_GB2312"/>
          <w:szCs w:val="32"/>
        </w:rPr>
      </w:pPr>
      <w:r>
        <w:rPr>
          <w:rFonts w:hint="eastAsia" w:ascii="仿宋_GB2312"/>
          <w:szCs w:val="32"/>
        </w:rPr>
        <w:t>建设工程项目兼具商住等多种功能的，以其建筑面积占总建筑面积比例最大部分的使用性质确定绿地率标准。</w:t>
      </w:r>
    </w:p>
    <w:p>
      <w:pPr>
        <w:ind w:firstLine="632" w:firstLineChars="200"/>
        <w:rPr>
          <w:rFonts w:hint="eastAsia" w:ascii="仿宋_GB2312"/>
          <w:szCs w:val="32"/>
        </w:rPr>
      </w:pPr>
      <w:r>
        <w:rPr>
          <w:rFonts w:hint="eastAsia" w:ascii="黑体" w:eastAsia="黑体"/>
          <w:szCs w:val="32"/>
        </w:rPr>
        <w:t>第十一条</w:t>
      </w:r>
      <w:r>
        <w:rPr>
          <w:rFonts w:hint="eastAsia" w:ascii="仿宋_GB2312"/>
          <w:szCs w:val="32"/>
        </w:rPr>
        <w:t xml:space="preserve">  旧城区改造建设工程项目附属绿地率确因客观环境条件限制无法达到本条例第十条规定标准的，经市、县（市）城乡规划主管部门会同城市绿化行政主管部门审核报同级人民政府批准，绿地率标准可以再降低不超过三个百分点。</w:t>
      </w:r>
    </w:p>
    <w:p>
      <w:pPr>
        <w:ind w:firstLine="632" w:firstLineChars="200"/>
        <w:rPr>
          <w:rFonts w:hint="eastAsia" w:ascii="仿宋_GB2312"/>
          <w:szCs w:val="32"/>
        </w:rPr>
      </w:pPr>
      <w:r>
        <w:rPr>
          <w:rFonts w:hint="eastAsia" w:ascii="仿宋_GB2312"/>
          <w:szCs w:val="32"/>
        </w:rPr>
        <w:t>因降低绿地率标准减少绿地面积的，建设单位应当按照所缺的绿地面积缴纳绿地补偿金。绿地补偿金应当上缴同级财政，专款专用于绿地补建。</w:t>
      </w:r>
    </w:p>
    <w:p>
      <w:pPr>
        <w:ind w:firstLine="632" w:firstLineChars="200"/>
        <w:rPr>
          <w:rFonts w:hint="eastAsia" w:ascii="仿宋_GB2312"/>
          <w:szCs w:val="32"/>
        </w:rPr>
      </w:pPr>
      <w:r>
        <w:rPr>
          <w:rFonts w:hint="eastAsia" w:ascii="黑体" w:eastAsia="黑体"/>
          <w:szCs w:val="32"/>
        </w:rPr>
        <w:t>第十二条</w:t>
      </w:r>
      <w:r>
        <w:rPr>
          <w:rFonts w:hint="eastAsia" w:ascii="仿宋_GB2312"/>
          <w:szCs w:val="32"/>
        </w:rPr>
        <w:t xml:space="preserve">  城市绿化建设应当选用适应本市自然条件的植物种类，注重市花月季的种植，科学合理配置乔木、灌木、地被植物和花卉，保护城市植物的多样性，打造白河湿地绿化景观轴，建设具有南阳特色的城市森林公园、城市公园、游园等绿地系统。</w:t>
      </w:r>
    </w:p>
    <w:p>
      <w:pPr>
        <w:ind w:firstLine="632" w:firstLineChars="200"/>
        <w:rPr>
          <w:rFonts w:hint="eastAsia" w:ascii="仿宋_GB2312"/>
          <w:szCs w:val="32"/>
        </w:rPr>
      </w:pPr>
      <w:r>
        <w:rPr>
          <w:rFonts w:hint="eastAsia" w:ascii="仿宋_GB2312"/>
          <w:szCs w:val="32"/>
        </w:rPr>
        <w:t>市、县（市）城市绿化行政主管部门在确定本地适用树种时，应当向社会公开征求意见，并组织专家进行论证。</w:t>
      </w:r>
    </w:p>
    <w:p>
      <w:pPr>
        <w:ind w:firstLine="632" w:firstLineChars="200"/>
        <w:rPr>
          <w:rFonts w:hint="eastAsia" w:ascii="仿宋_GB2312"/>
          <w:szCs w:val="32"/>
        </w:rPr>
      </w:pPr>
      <w:r>
        <w:rPr>
          <w:rFonts w:hint="eastAsia" w:ascii="黑体" w:eastAsia="黑体"/>
          <w:szCs w:val="32"/>
        </w:rPr>
        <w:t>第十三条</w:t>
      </w:r>
      <w:r>
        <w:rPr>
          <w:rFonts w:hint="eastAsia" w:ascii="仿宋_GB2312"/>
          <w:szCs w:val="32"/>
        </w:rPr>
        <w:t xml:space="preserve">  城市建设工程项目应当将附属绿化工程费用纳入投资预算。附属绿化工程应当与主体工程同步规划、同步设计。附属绿化工程完成的时间不得迟于建设项目主体工程竣工后六个月。</w:t>
      </w:r>
    </w:p>
    <w:p>
      <w:pPr>
        <w:ind w:firstLine="632" w:firstLineChars="200"/>
        <w:rPr>
          <w:rFonts w:hint="eastAsia" w:ascii="仿宋_GB2312"/>
          <w:szCs w:val="32"/>
        </w:rPr>
      </w:pPr>
      <w:r>
        <w:rPr>
          <w:rFonts w:hint="eastAsia" w:ascii="黑体" w:eastAsia="黑体"/>
          <w:szCs w:val="32"/>
        </w:rPr>
        <w:t>第十四条</w:t>
      </w:r>
      <w:r>
        <w:rPr>
          <w:rFonts w:hint="eastAsia" w:ascii="仿宋_GB2312"/>
          <w:szCs w:val="32"/>
        </w:rPr>
        <w:t xml:space="preserve">  建设单位向市、县（市）城乡规划主管部门报送建设工程设计方案时，应当同时报送建设工程附属绿化工程设计方案。</w:t>
      </w:r>
    </w:p>
    <w:p>
      <w:pPr>
        <w:ind w:firstLine="632" w:firstLineChars="200"/>
        <w:rPr>
          <w:rFonts w:hint="eastAsia" w:ascii="仿宋_GB2312"/>
          <w:szCs w:val="32"/>
        </w:rPr>
      </w:pPr>
      <w:r>
        <w:rPr>
          <w:rFonts w:hint="eastAsia" w:ascii="仿宋_GB2312"/>
          <w:szCs w:val="32"/>
        </w:rPr>
        <w:t>城乡规划主管部门在审查建设工程设计方案时，应当通知城市绿化行政主管部门参加附属绿化工程设计方案的审查。</w:t>
      </w:r>
    </w:p>
    <w:p>
      <w:pPr>
        <w:ind w:firstLine="632" w:firstLineChars="200"/>
        <w:rPr>
          <w:rFonts w:hint="eastAsia" w:ascii="仿宋_GB2312"/>
          <w:szCs w:val="32"/>
        </w:rPr>
      </w:pPr>
      <w:r>
        <w:rPr>
          <w:rFonts w:hint="eastAsia" w:ascii="黑体" w:eastAsia="黑体"/>
          <w:szCs w:val="32"/>
        </w:rPr>
        <w:t>第十五条</w:t>
      </w:r>
      <w:r>
        <w:rPr>
          <w:rFonts w:hint="eastAsia" w:ascii="仿宋_GB2312"/>
          <w:szCs w:val="32"/>
        </w:rPr>
        <w:t xml:space="preserve">  城市绿化行政主管部门应当加强对附属绿化工程建设质量的监督检查，并给予技术指导。</w:t>
      </w:r>
    </w:p>
    <w:p>
      <w:pPr>
        <w:ind w:firstLine="632" w:firstLineChars="200"/>
        <w:rPr>
          <w:rFonts w:hint="eastAsia" w:ascii="仿宋_GB2312"/>
          <w:szCs w:val="32"/>
        </w:rPr>
      </w:pPr>
      <w:r>
        <w:rPr>
          <w:rFonts w:hint="eastAsia" w:ascii="仿宋_GB2312"/>
          <w:szCs w:val="32"/>
        </w:rPr>
        <w:t>建设工程项目竣工验收后三十日内，建设单位应当将附属绿化工程的竣工资料报城市绿化行政主管部门备案。</w:t>
      </w:r>
    </w:p>
    <w:p>
      <w:pPr>
        <w:ind w:firstLine="632" w:firstLineChars="200"/>
        <w:rPr>
          <w:rFonts w:hint="eastAsia" w:ascii="仿宋_GB2312"/>
          <w:szCs w:val="32"/>
        </w:rPr>
      </w:pPr>
      <w:r>
        <w:rPr>
          <w:rFonts w:hint="eastAsia" w:ascii="黑体" w:eastAsia="黑体"/>
          <w:szCs w:val="32"/>
        </w:rPr>
        <w:t>第十六条</w:t>
      </w:r>
      <w:r>
        <w:rPr>
          <w:rFonts w:hint="eastAsia" w:ascii="仿宋_GB2312"/>
          <w:szCs w:val="32"/>
        </w:rPr>
        <w:t xml:space="preserve">  居住区建设单位应当在房屋买卖合同中对居住区内绿地的比例、面积和位置予以明确。</w:t>
      </w:r>
    </w:p>
    <w:p>
      <w:pPr>
        <w:ind w:firstLine="632" w:firstLineChars="200"/>
        <w:rPr>
          <w:rFonts w:hint="eastAsia" w:ascii="仿宋_GB2312"/>
          <w:szCs w:val="32"/>
        </w:rPr>
      </w:pPr>
      <w:r>
        <w:rPr>
          <w:rFonts w:hint="eastAsia" w:ascii="仿宋_GB2312"/>
          <w:szCs w:val="32"/>
        </w:rPr>
        <w:t>居住区建设单位应当制作绿地平面图公示牌，标明居住区绿地率、绿地面积、建设单位以及监督电话等，在居住区的显著位置进行永久公示。</w:t>
      </w:r>
    </w:p>
    <w:p>
      <w:pPr>
        <w:ind w:firstLine="632" w:firstLineChars="200"/>
        <w:rPr>
          <w:rFonts w:hint="eastAsia" w:ascii="仿宋_GB2312"/>
          <w:szCs w:val="32"/>
        </w:rPr>
      </w:pPr>
      <w:r>
        <w:rPr>
          <w:rFonts w:hint="eastAsia" w:ascii="仿宋_GB2312"/>
          <w:szCs w:val="32"/>
        </w:rPr>
        <w:t>禁止在居住区绿地内建设建筑物、构筑物、停车位或者其他设施。</w:t>
      </w:r>
    </w:p>
    <w:p>
      <w:pPr>
        <w:ind w:firstLine="632" w:firstLineChars="200"/>
        <w:rPr>
          <w:rFonts w:hint="eastAsia" w:ascii="仿宋_GB2312"/>
          <w:szCs w:val="32"/>
        </w:rPr>
      </w:pPr>
      <w:r>
        <w:rPr>
          <w:rFonts w:hint="eastAsia" w:ascii="黑体" w:eastAsia="黑体"/>
          <w:szCs w:val="32"/>
        </w:rPr>
        <w:t>第十七条</w:t>
      </w:r>
      <w:r>
        <w:rPr>
          <w:rFonts w:hint="eastAsia" w:ascii="仿宋_GB2312"/>
          <w:szCs w:val="32"/>
        </w:rPr>
        <w:t xml:space="preserve">  建设工程项目用地自受让之日起六个月内不能开工建设的，建设单位应当进行简易绿化。</w:t>
      </w:r>
    </w:p>
    <w:p>
      <w:pPr>
        <w:ind w:firstLine="632" w:firstLineChars="200"/>
        <w:rPr>
          <w:rFonts w:hint="eastAsia" w:ascii="仿宋_GB2312"/>
          <w:szCs w:val="32"/>
        </w:rPr>
      </w:pPr>
      <w:r>
        <w:rPr>
          <w:rFonts w:hint="eastAsia" w:ascii="仿宋_GB2312"/>
          <w:szCs w:val="32"/>
        </w:rPr>
        <w:t>在城市规划区内，应当绿化而没有绿化的裸露空地，由市、县（市、区）城市绿化行政主管部门会同有关部门明确绿化责任，限期绿化。</w:t>
      </w:r>
    </w:p>
    <w:p>
      <w:pPr>
        <w:ind w:firstLine="632" w:firstLineChars="200"/>
        <w:rPr>
          <w:rFonts w:hint="eastAsia" w:ascii="仿宋_GB2312"/>
          <w:szCs w:val="32"/>
        </w:rPr>
      </w:pPr>
      <w:r>
        <w:rPr>
          <w:rFonts w:hint="eastAsia" w:ascii="黑体" w:eastAsia="黑体"/>
          <w:szCs w:val="32"/>
        </w:rPr>
        <w:t>第十八条</w:t>
      </w:r>
      <w:r>
        <w:rPr>
          <w:rFonts w:hint="eastAsia" w:ascii="仿宋_GB2312"/>
          <w:szCs w:val="32"/>
        </w:rPr>
        <w:t xml:space="preserve">  鼓励单位和个人以投资、捐资、认养、认建、劳务等形式参与城市绿化建设和养护。参与城市绿化建设和养护的，可以享有一定期限的冠名权等权益，但不得改变其产权关系。</w:t>
      </w:r>
    </w:p>
    <w:p>
      <w:pPr>
        <w:ind w:firstLine="632" w:firstLineChars="200"/>
        <w:rPr>
          <w:rFonts w:hint="eastAsia" w:ascii="仿宋_GB2312"/>
          <w:szCs w:val="32"/>
        </w:rPr>
      </w:pPr>
      <w:r>
        <w:rPr>
          <w:rFonts w:hint="eastAsia" w:ascii="仿宋_GB2312"/>
          <w:szCs w:val="32"/>
        </w:rPr>
        <w:t>认建、认养单位和个人不得在其认建、认养的绿地内建设建筑物、构筑物，不得改变绿地的性质和用途，不得怠于履行建设、养护和管理责任；因特殊原因失去认建、认养条件的，应当终止协议，由原权属单位履行建设、养护和管理责任。</w:t>
      </w:r>
    </w:p>
    <w:p>
      <w:pPr>
        <w:ind w:firstLine="632" w:firstLineChars="200"/>
        <w:rPr>
          <w:rFonts w:hint="eastAsia" w:ascii="仿宋_GB2312"/>
          <w:szCs w:val="32"/>
        </w:rPr>
      </w:pPr>
      <w:r>
        <w:rPr>
          <w:rFonts w:hint="eastAsia" w:ascii="黑体" w:eastAsia="黑体"/>
          <w:szCs w:val="32"/>
        </w:rPr>
        <w:t>第十九条</w:t>
      </w:r>
      <w:r>
        <w:rPr>
          <w:rFonts w:hint="eastAsia" w:ascii="仿宋_GB2312"/>
          <w:szCs w:val="32"/>
        </w:rPr>
        <w:t xml:space="preserve">  鼓励实施屋顶绿化、垂直绿化等多种形式的立体绿化。机关、事业单位和文化、教育、体育等公共建筑，符合建筑规范适宜屋顶绿化的，应当实施屋顶绿化；城市道路护栏、建筑墙体、各类桥梁、临街围栏等市政公用设施适宜垂直绿化的，应当实施垂直绿化。</w:t>
      </w:r>
    </w:p>
    <w:p>
      <w:pPr>
        <w:ind w:firstLine="632" w:firstLineChars="200"/>
        <w:rPr>
          <w:rFonts w:hint="eastAsia" w:ascii="仿宋_GB2312"/>
          <w:szCs w:val="32"/>
        </w:rPr>
      </w:pPr>
      <w:r>
        <w:rPr>
          <w:rFonts w:hint="eastAsia" w:ascii="仿宋_GB2312"/>
          <w:szCs w:val="32"/>
        </w:rPr>
        <w:t>室外停车场具备条件的，应当配植庇荫乔木，铺设植草地坪，建设绿荫停车场。</w:t>
      </w:r>
    </w:p>
    <w:p>
      <w:pPr>
        <w:ind w:firstLine="632" w:firstLineChars="200"/>
        <w:rPr>
          <w:rFonts w:hint="eastAsia" w:ascii="仿宋_GB2312"/>
          <w:szCs w:val="32"/>
        </w:rPr>
      </w:pPr>
      <w:r>
        <w:rPr>
          <w:rFonts w:hint="eastAsia" w:ascii="仿宋_GB2312"/>
          <w:szCs w:val="32"/>
        </w:rPr>
        <w:t>城市主要道路两侧沿线单位，除有特殊安全需要外，应当实施开放式绿化。</w:t>
      </w:r>
    </w:p>
    <w:p>
      <w:pPr>
        <w:rPr>
          <w:rFonts w:hint="eastAsia" w:ascii="仿宋_GB2312"/>
          <w:szCs w:val="32"/>
        </w:rPr>
      </w:pPr>
    </w:p>
    <w:p>
      <w:pPr>
        <w:pStyle w:val="6"/>
        <w:numPr>
          <w:ilvl w:val="0"/>
          <w:numId w:val="1"/>
        </w:numPr>
        <w:ind w:firstLineChars="0"/>
        <w:jc w:val="center"/>
        <w:rPr>
          <w:rFonts w:hint="eastAsia" w:ascii="黑体" w:eastAsia="黑体"/>
          <w:szCs w:val="32"/>
        </w:rPr>
      </w:pPr>
      <w:r>
        <w:rPr>
          <w:rFonts w:hint="eastAsia" w:ascii="黑体" w:eastAsia="黑体"/>
          <w:szCs w:val="32"/>
          <w:lang w:val="en-US" w:eastAsia="zh-CN"/>
        </w:rPr>
        <w:t xml:space="preserve"> </w:t>
      </w:r>
      <w:r>
        <w:rPr>
          <w:rFonts w:hint="eastAsia" w:ascii="黑体" w:eastAsia="黑体"/>
          <w:szCs w:val="32"/>
        </w:rPr>
        <w:t>保护与管理</w:t>
      </w:r>
    </w:p>
    <w:p>
      <w:pPr>
        <w:rPr>
          <w:rFonts w:hint="eastAsia" w:ascii="仿宋_GB2312"/>
          <w:szCs w:val="32"/>
        </w:rPr>
      </w:pPr>
    </w:p>
    <w:p>
      <w:pPr>
        <w:ind w:firstLine="632" w:firstLineChars="200"/>
        <w:rPr>
          <w:rFonts w:hint="eastAsia" w:ascii="仿宋_GB2312"/>
          <w:szCs w:val="32"/>
        </w:rPr>
      </w:pPr>
      <w:r>
        <w:rPr>
          <w:rFonts w:hint="eastAsia" w:ascii="黑体" w:eastAsia="黑体"/>
          <w:szCs w:val="32"/>
        </w:rPr>
        <w:t>第二十条</w:t>
      </w:r>
      <w:r>
        <w:rPr>
          <w:rFonts w:hint="eastAsia" w:ascii="仿宋_GB2312"/>
          <w:szCs w:val="32"/>
        </w:rPr>
        <w:t xml:space="preserve">  市、县（市、区）城市绿化行政主管部门应当会同有关部门，定期对绿地种类、分布、权属、养护情况及古树名木进行普查，建立绿化资源档案，完善绿化管理信息系统。</w:t>
      </w:r>
    </w:p>
    <w:p>
      <w:pPr>
        <w:ind w:firstLine="632" w:firstLineChars="200"/>
        <w:rPr>
          <w:rFonts w:hint="eastAsia" w:ascii="仿宋_GB2312"/>
          <w:szCs w:val="32"/>
        </w:rPr>
      </w:pPr>
      <w:r>
        <w:rPr>
          <w:rFonts w:hint="eastAsia" w:ascii="黑体" w:eastAsia="黑体"/>
          <w:szCs w:val="32"/>
        </w:rPr>
        <w:t>第二十一条</w:t>
      </w:r>
      <w:r>
        <w:rPr>
          <w:rFonts w:hint="eastAsia" w:ascii="仿宋_GB2312"/>
          <w:szCs w:val="32"/>
        </w:rPr>
        <w:t xml:space="preserve">  城市绿地的养护管理责任按照下列规定确定：</w:t>
      </w:r>
    </w:p>
    <w:p>
      <w:pPr>
        <w:ind w:firstLine="632" w:firstLineChars="200"/>
        <w:rPr>
          <w:rFonts w:hint="eastAsia" w:ascii="仿宋_GB2312"/>
          <w:szCs w:val="32"/>
        </w:rPr>
      </w:pPr>
      <w:r>
        <w:rPr>
          <w:rFonts w:hint="eastAsia" w:ascii="仿宋_GB2312"/>
          <w:szCs w:val="32"/>
        </w:rPr>
        <w:t>（一）政府投资建设绿地的养护管理，由城市绿化行政主管部门委托的城市绿化养护管理单位负责，或者由市、县（市、区）人民政府确定的单位负责；</w:t>
      </w:r>
    </w:p>
    <w:p>
      <w:pPr>
        <w:ind w:firstLine="632" w:firstLineChars="200"/>
        <w:rPr>
          <w:rFonts w:hint="eastAsia" w:ascii="仿宋_GB2312"/>
          <w:szCs w:val="32"/>
        </w:rPr>
      </w:pPr>
      <w:r>
        <w:rPr>
          <w:rFonts w:hint="eastAsia" w:ascii="仿宋_GB2312"/>
          <w:szCs w:val="32"/>
        </w:rPr>
        <w:t>（二）居住区绿地的养护管理，实行物业管理的，由物业管理单位负责，未实行物业管理的，由建设单位负责，建设单位不明的，由其所在地的乡（镇）人民政府、街道办事处负责组织管理；</w:t>
      </w:r>
    </w:p>
    <w:p>
      <w:pPr>
        <w:ind w:firstLine="632" w:firstLineChars="200"/>
        <w:rPr>
          <w:rFonts w:hint="eastAsia" w:ascii="仿宋_GB2312"/>
          <w:szCs w:val="32"/>
        </w:rPr>
      </w:pPr>
      <w:r>
        <w:rPr>
          <w:rFonts w:hint="eastAsia" w:ascii="仿宋_GB2312"/>
          <w:szCs w:val="32"/>
        </w:rPr>
        <w:t>（三）建设工程范围内保留的绿地，在建设期间由建设单位负责养护管理；</w:t>
      </w:r>
    </w:p>
    <w:p>
      <w:pPr>
        <w:ind w:firstLine="632" w:firstLineChars="200"/>
        <w:rPr>
          <w:rFonts w:hint="eastAsia" w:ascii="仿宋_GB2312"/>
          <w:szCs w:val="32"/>
        </w:rPr>
      </w:pPr>
      <w:r>
        <w:rPr>
          <w:rFonts w:hint="eastAsia" w:ascii="仿宋_GB2312"/>
          <w:szCs w:val="32"/>
        </w:rPr>
        <w:t>（四）其他绿地的养护管理，由其所有人负责。</w:t>
      </w:r>
    </w:p>
    <w:p>
      <w:pPr>
        <w:ind w:firstLine="632" w:firstLineChars="200"/>
        <w:rPr>
          <w:rFonts w:hint="eastAsia" w:ascii="仿宋_GB2312"/>
          <w:szCs w:val="32"/>
        </w:rPr>
      </w:pPr>
      <w:r>
        <w:rPr>
          <w:rFonts w:hint="eastAsia" w:ascii="仿宋_GB2312"/>
          <w:szCs w:val="32"/>
        </w:rPr>
        <w:t>绿地和树木养护管理责任不明确或者有争议的，由市、县（市、区）城市绿化行政主管部门报同级人民政府确定。</w:t>
      </w:r>
    </w:p>
    <w:p>
      <w:pPr>
        <w:ind w:firstLine="632" w:firstLineChars="200"/>
        <w:rPr>
          <w:rFonts w:hint="eastAsia" w:ascii="仿宋_GB2312"/>
          <w:szCs w:val="32"/>
        </w:rPr>
      </w:pPr>
      <w:r>
        <w:rPr>
          <w:rFonts w:hint="eastAsia" w:ascii="黑体" w:eastAsia="黑体"/>
          <w:szCs w:val="32"/>
        </w:rPr>
        <w:t xml:space="preserve">第二十二条 </w:t>
      </w:r>
      <w:r>
        <w:rPr>
          <w:rFonts w:hint="eastAsia" w:ascii="仿宋_GB2312"/>
          <w:szCs w:val="32"/>
        </w:rPr>
        <w:t xml:space="preserve"> 城市绿化行政主管部门应当加强绿化植物的检疫和有害生物防治，推广生物防治技术，健全有害生物预警防控体系，会同有关部门编制城市绿地系统防灾避险规划。</w:t>
      </w:r>
    </w:p>
    <w:p>
      <w:pPr>
        <w:ind w:firstLine="632" w:firstLineChars="200"/>
        <w:rPr>
          <w:rFonts w:hint="eastAsia" w:ascii="仿宋_GB2312"/>
          <w:szCs w:val="32"/>
        </w:rPr>
      </w:pPr>
      <w:r>
        <w:rPr>
          <w:rFonts w:hint="eastAsia" w:ascii="仿宋_GB2312"/>
          <w:szCs w:val="32"/>
        </w:rPr>
        <w:t>绿地和树木养护管理责任人应当按照绿化养护技术规范进行养护管理，并制定防灾避险应急预案。城市绿化行政主管部门应当提供技术指导和咨询服务。</w:t>
      </w:r>
    </w:p>
    <w:p>
      <w:pPr>
        <w:ind w:firstLine="632" w:firstLineChars="200"/>
        <w:rPr>
          <w:rFonts w:hint="eastAsia" w:ascii="仿宋_GB2312"/>
          <w:szCs w:val="32"/>
        </w:rPr>
      </w:pPr>
      <w:r>
        <w:rPr>
          <w:rFonts w:hint="eastAsia" w:ascii="黑体" w:hAnsi="黑体" w:eastAsia="黑体" w:cs="黑体"/>
          <w:szCs w:val="32"/>
        </w:rPr>
        <w:t>第二十三条</w:t>
      </w:r>
      <w:r>
        <w:rPr>
          <w:rFonts w:hint="eastAsia" w:ascii="仿宋_GB2312"/>
          <w:szCs w:val="32"/>
          <w:lang w:val="en-US" w:eastAsia="zh-CN"/>
        </w:rPr>
        <w:t xml:space="preserve">  </w:t>
      </w:r>
      <w:r>
        <w:rPr>
          <w:rFonts w:hint="eastAsia" w:ascii="仿宋_GB2312"/>
          <w:szCs w:val="32"/>
        </w:rPr>
        <w:t>禁止擅自改变城市绿地使用性质。</w:t>
      </w:r>
    </w:p>
    <w:p>
      <w:pPr>
        <w:ind w:firstLine="632" w:firstLineChars="200"/>
        <w:rPr>
          <w:rFonts w:hint="eastAsia" w:ascii="仿宋_GB2312"/>
          <w:szCs w:val="32"/>
        </w:rPr>
      </w:pPr>
      <w:r>
        <w:rPr>
          <w:rFonts w:hint="eastAsia" w:ascii="仿宋_GB2312"/>
          <w:szCs w:val="32"/>
        </w:rPr>
        <w:t>确需改变城市绿地使用性质的，由市、县（市）城市绿化行政主管部门会同城乡规划主管部门审核，向社会公开征求意见，并依法报请批准。</w:t>
      </w:r>
    </w:p>
    <w:p>
      <w:pPr>
        <w:ind w:firstLine="632" w:firstLineChars="200"/>
        <w:rPr>
          <w:rFonts w:hint="eastAsia" w:ascii="仿宋_GB2312"/>
          <w:szCs w:val="32"/>
        </w:rPr>
      </w:pPr>
      <w:r>
        <w:rPr>
          <w:rFonts w:hint="eastAsia" w:ascii="仿宋_GB2312"/>
          <w:szCs w:val="32"/>
        </w:rPr>
        <w:t>改变绿地使用性质，应当就近建设不少于同等面积、不低于同等标准的绿地；不具备补建条件的，按照本条例第十一条的规定处理。</w:t>
      </w:r>
    </w:p>
    <w:p>
      <w:pPr>
        <w:ind w:firstLine="632" w:firstLineChars="200"/>
        <w:rPr>
          <w:rFonts w:hint="eastAsia" w:ascii="仿宋_GB2312"/>
          <w:szCs w:val="32"/>
        </w:rPr>
      </w:pPr>
      <w:r>
        <w:rPr>
          <w:rFonts w:hint="eastAsia" w:ascii="黑体" w:hAnsi="黑体" w:eastAsia="黑体" w:cs="黑体"/>
          <w:szCs w:val="32"/>
        </w:rPr>
        <w:t>第二十四条</w:t>
      </w:r>
      <w:r>
        <w:rPr>
          <w:rFonts w:hint="eastAsia" w:ascii="仿宋_GB2312"/>
          <w:szCs w:val="32"/>
          <w:lang w:val="en-US" w:eastAsia="zh-CN"/>
        </w:rPr>
        <w:t xml:space="preserve">  </w:t>
      </w:r>
      <w:r>
        <w:rPr>
          <w:rFonts w:hint="eastAsia" w:ascii="仿宋_GB2312"/>
          <w:szCs w:val="32"/>
        </w:rPr>
        <w:t>禁止擅自占用城市绿地。</w:t>
      </w:r>
    </w:p>
    <w:p>
      <w:pPr>
        <w:ind w:firstLine="632" w:firstLineChars="200"/>
        <w:rPr>
          <w:rFonts w:hint="eastAsia" w:ascii="仿宋_GB2312"/>
          <w:szCs w:val="32"/>
        </w:rPr>
      </w:pPr>
      <w:r>
        <w:rPr>
          <w:rFonts w:hint="eastAsia" w:ascii="仿宋_GB2312"/>
          <w:szCs w:val="32"/>
        </w:rPr>
        <w:t>因建设或者其他特殊需要临时占用城市绿地的，由市、县（市）城市绿化行政主管部门审批，临时占用时间不得超过一年。临时占用单位或者个人应当在占用期限届满前恢复绿地原状，造成损失的，应当承担赔偿责任。</w:t>
      </w:r>
    </w:p>
    <w:p>
      <w:pPr>
        <w:ind w:firstLine="632" w:firstLineChars="200"/>
        <w:rPr>
          <w:rFonts w:hint="eastAsia" w:ascii="仿宋_GB2312"/>
          <w:szCs w:val="32"/>
        </w:rPr>
      </w:pPr>
      <w:r>
        <w:rPr>
          <w:rFonts w:hint="eastAsia" w:ascii="仿宋_GB2312"/>
          <w:szCs w:val="32"/>
        </w:rPr>
        <w:t>占用单位或者个人应当在其所占用绿地明显位置设置公示牌，标明占用单位、批准单位、占用面积、占用期限及监督电话等信息。</w:t>
      </w:r>
    </w:p>
    <w:p>
      <w:pPr>
        <w:ind w:firstLine="632" w:firstLineChars="200"/>
        <w:rPr>
          <w:rFonts w:hint="eastAsia" w:ascii="仿宋_GB2312"/>
          <w:szCs w:val="32"/>
        </w:rPr>
      </w:pPr>
      <w:r>
        <w:rPr>
          <w:rFonts w:hint="eastAsia" w:ascii="黑体" w:hAnsi="黑体" w:eastAsia="黑体" w:cs="黑体"/>
          <w:szCs w:val="32"/>
        </w:rPr>
        <w:t>第二十五条</w:t>
      </w:r>
      <w:r>
        <w:rPr>
          <w:rFonts w:hint="eastAsia" w:ascii="仿宋_GB2312"/>
          <w:szCs w:val="32"/>
          <w:lang w:val="en-US" w:eastAsia="zh-CN"/>
        </w:rPr>
        <w:t xml:space="preserve">  </w:t>
      </w:r>
      <w:r>
        <w:rPr>
          <w:rFonts w:hint="eastAsia" w:ascii="仿宋_GB2312"/>
          <w:szCs w:val="32"/>
        </w:rPr>
        <w:t>政府投资建成面积在五千平方米以上，经同级人民政府确认为永久性绿地的，报同级人民代表大会常务委员会备案，向社会公布。任何单位和个人不得占用或者改变永久性绿地的用途。</w:t>
      </w:r>
    </w:p>
    <w:p>
      <w:pPr>
        <w:ind w:firstLine="632" w:firstLineChars="200"/>
        <w:rPr>
          <w:rFonts w:hint="eastAsia" w:ascii="仿宋_GB2312"/>
          <w:szCs w:val="32"/>
        </w:rPr>
      </w:pPr>
      <w:r>
        <w:rPr>
          <w:rFonts w:hint="eastAsia" w:ascii="仿宋_GB2312"/>
          <w:szCs w:val="32"/>
        </w:rPr>
        <w:t>行道树形成的城市林荫道，由同级人民政府确认为绿色廊道，向社会公布。绿色廊道的树木，除因抢险救灾、死亡或者存在安全隐患需要更新外，不得砍伐。</w:t>
      </w:r>
    </w:p>
    <w:p>
      <w:pPr>
        <w:ind w:firstLine="632" w:firstLineChars="200"/>
        <w:rPr>
          <w:rFonts w:hint="eastAsia" w:ascii="仿宋_GB2312"/>
          <w:szCs w:val="32"/>
        </w:rPr>
      </w:pPr>
      <w:r>
        <w:rPr>
          <w:rFonts w:hint="eastAsia" w:ascii="黑体" w:eastAsia="黑体"/>
          <w:szCs w:val="32"/>
        </w:rPr>
        <w:t>第二十六条</w:t>
      </w:r>
      <w:r>
        <w:rPr>
          <w:rFonts w:hint="eastAsia" w:ascii="仿宋_GB2312"/>
          <w:szCs w:val="32"/>
        </w:rPr>
        <w:t xml:space="preserve">  禁止擅自砍伐、移植城市树木。</w:t>
      </w:r>
    </w:p>
    <w:p>
      <w:pPr>
        <w:ind w:firstLine="632" w:firstLineChars="200"/>
        <w:rPr>
          <w:rFonts w:hint="eastAsia" w:ascii="仿宋_GB2312"/>
          <w:szCs w:val="32"/>
        </w:rPr>
      </w:pPr>
      <w:r>
        <w:rPr>
          <w:rFonts w:hint="eastAsia" w:ascii="仿宋_GB2312"/>
          <w:szCs w:val="32"/>
        </w:rPr>
        <w:t>确需砍伐、移植城市树木的，由市、县（市）城市绿化行政主管部门审批；一次砍伐、移植城市树木超过五十株的，应当征求公众意见，必要时应当组织专家对其必要性和可行性进行论证。</w:t>
      </w:r>
    </w:p>
    <w:p>
      <w:pPr>
        <w:ind w:firstLine="632" w:firstLineChars="200"/>
        <w:rPr>
          <w:rFonts w:hint="eastAsia" w:ascii="仿宋_GB2312"/>
          <w:szCs w:val="32"/>
        </w:rPr>
      </w:pPr>
      <w:r>
        <w:rPr>
          <w:rFonts w:hint="eastAsia" w:ascii="仿宋_GB2312"/>
          <w:szCs w:val="32"/>
        </w:rPr>
        <w:t>砍伐、移植城市树木，施工单位应当在施工现场设立公示牌，公示行政审批内容，接受公众监督。</w:t>
      </w:r>
    </w:p>
    <w:p>
      <w:pPr>
        <w:ind w:firstLine="632" w:firstLineChars="200"/>
        <w:rPr>
          <w:rFonts w:hint="eastAsia" w:ascii="仿宋_GB2312"/>
          <w:szCs w:val="32"/>
        </w:rPr>
      </w:pPr>
      <w:r>
        <w:rPr>
          <w:rFonts w:hint="eastAsia" w:ascii="黑体" w:eastAsia="黑体"/>
          <w:szCs w:val="32"/>
        </w:rPr>
        <w:t xml:space="preserve">第二十七条 </w:t>
      </w:r>
      <w:r>
        <w:rPr>
          <w:rFonts w:hint="eastAsia" w:ascii="仿宋_GB2312"/>
          <w:szCs w:val="32"/>
        </w:rPr>
        <w:t xml:space="preserve"> 经批准砍伐城市树木的，申请人应当对树木所有人进行补偿，并按照伐一补三的原则补植树木，补植的树木胸径不得小于十厘米。因条件限制无法补植或者补植达不到规定标准的，应当缴纳树木补植费用，由市、县（市）城市绿化行政主管部门组织补植。</w:t>
      </w:r>
    </w:p>
    <w:p>
      <w:pPr>
        <w:ind w:firstLine="632" w:firstLineChars="200"/>
        <w:rPr>
          <w:rFonts w:hint="eastAsia" w:ascii="仿宋_GB2312"/>
          <w:szCs w:val="32"/>
        </w:rPr>
      </w:pPr>
      <w:r>
        <w:rPr>
          <w:rFonts w:hint="eastAsia" w:ascii="仿宋_GB2312"/>
          <w:szCs w:val="32"/>
        </w:rPr>
        <w:t>经批准移植城市树木的，移植者应当保证其成活；移植后一年内未成活的，应当按照前款规定予以补植。</w:t>
      </w:r>
    </w:p>
    <w:p>
      <w:pPr>
        <w:ind w:firstLine="632" w:firstLineChars="200"/>
        <w:rPr>
          <w:rFonts w:hint="eastAsia" w:ascii="仿宋_GB2312"/>
          <w:szCs w:val="32"/>
        </w:rPr>
      </w:pPr>
      <w:r>
        <w:rPr>
          <w:rFonts w:hint="eastAsia" w:ascii="黑体" w:eastAsia="黑体"/>
          <w:szCs w:val="32"/>
        </w:rPr>
        <w:t>第二十八条</w:t>
      </w:r>
      <w:r>
        <w:rPr>
          <w:rFonts w:hint="eastAsia" w:ascii="仿宋_GB2312"/>
          <w:szCs w:val="32"/>
        </w:rPr>
        <w:t xml:space="preserve">  城市树木严重影响交通、房屋安全，或者影响电力、交通、照明、通信线路等公共设施正常使用的，由树木养护管理单位或者个人按照有关技术规范组织修剪；因建设工程施工确需修剪城市树木的，应当经树木养护管理单位或者个人同意后，由城市绿化专业单位修剪，修剪的费用由建设单位承担。</w:t>
      </w:r>
    </w:p>
    <w:p>
      <w:pPr>
        <w:ind w:firstLine="790" w:firstLineChars="250"/>
        <w:rPr>
          <w:rFonts w:hint="eastAsia" w:ascii="仿宋_GB2312"/>
          <w:szCs w:val="32"/>
        </w:rPr>
      </w:pPr>
      <w:r>
        <w:rPr>
          <w:rFonts w:hint="eastAsia" w:ascii="仿宋_GB2312"/>
          <w:szCs w:val="32"/>
        </w:rPr>
        <w:t>因抢险、救灾、突发事故等紧急情况需砍伐、扶正城市树木的，可以先行处理。险情消除后五个工作日内，砍伐单位应当向市、县（市）城市绿化行政主管部门备案。</w:t>
      </w:r>
    </w:p>
    <w:p>
      <w:pPr>
        <w:ind w:firstLine="632" w:firstLineChars="200"/>
        <w:rPr>
          <w:rFonts w:hint="eastAsia" w:ascii="仿宋_GB2312"/>
          <w:szCs w:val="32"/>
        </w:rPr>
      </w:pPr>
      <w:r>
        <w:rPr>
          <w:rFonts w:hint="eastAsia" w:ascii="黑体" w:eastAsia="黑体"/>
          <w:szCs w:val="32"/>
        </w:rPr>
        <w:t>第二十九条</w:t>
      </w:r>
      <w:r>
        <w:rPr>
          <w:rFonts w:hint="eastAsia" w:ascii="仿宋_GB2312"/>
          <w:szCs w:val="32"/>
        </w:rPr>
        <w:t xml:space="preserve">  禁止下列损害城市绿化及其设施的行为：</w:t>
      </w:r>
    </w:p>
    <w:p>
      <w:pPr>
        <w:ind w:firstLine="632" w:firstLineChars="200"/>
        <w:rPr>
          <w:rFonts w:hint="eastAsia" w:ascii="仿宋_GB2312"/>
          <w:szCs w:val="32"/>
        </w:rPr>
      </w:pPr>
      <w:r>
        <w:rPr>
          <w:rFonts w:hint="eastAsia" w:ascii="仿宋_GB2312"/>
          <w:szCs w:val="32"/>
        </w:rPr>
        <w:t>（一）在公共绿地内采摘植物花果枝叶、剥损树皮、折采种条等损害绿化的行为；</w:t>
      </w:r>
    </w:p>
    <w:p>
      <w:pPr>
        <w:ind w:firstLine="632" w:firstLineChars="200"/>
        <w:rPr>
          <w:rFonts w:hint="eastAsia" w:ascii="仿宋_GB2312"/>
          <w:szCs w:val="32"/>
        </w:rPr>
      </w:pPr>
      <w:r>
        <w:rPr>
          <w:rFonts w:hint="eastAsia" w:ascii="仿宋_GB2312"/>
          <w:szCs w:val="32"/>
        </w:rPr>
        <w:t>（二）利用树木作为支撑物或者固定物、在树木上悬挂广告牌、钉钉、结绳晾晒、架设电线、包裹树木等损害城市树木的行为；</w:t>
      </w:r>
    </w:p>
    <w:p>
      <w:pPr>
        <w:ind w:firstLine="632" w:firstLineChars="200"/>
        <w:rPr>
          <w:rFonts w:hint="eastAsia" w:ascii="仿宋_GB2312"/>
          <w:szCs w:val="32"/>
        </w:rPr>
      </w:pPr>
      <w:r>
        <w:rPr>
          <w:rFonts w:hint="eastAsia" w:ascii="仿宋_GB2312"/>
          <w:szCs w:val="32"/>
        </w:rPr>
        <w:t>（三）在树旁和绿地内倾倒垃圾、污水，堆放杂物，种植其他作物或者取土、焚烧、烧烤等危害行为；</w:t>
      </w:r>
    </w:p>
    <w:p>
      <w:pPr>
        <w:ind w:firstLine="632" w:firstLineChars="200"/>
        <w:rPr>
          <w:rFonts w:hint="eastAsia" w:ascii="仿宋_GB2312"/>
          <w:szCs w:val="32"/>
        </w:rPr>
      </w:pPr>
      <w:r>
        <w:rPr>
          <w:rFonts w:hint="eastAsia" w:ascii="仿宋_GB2312"/>
          <w:szCs w:val="32"/>
        </w:rPr>
        <w:t>（四）在公园绿地内擅自驶入或者停放非作业机动车辆；</w:t>
      </w:r>
    </w:p>
    <w:p>
      <w:pPr>
        <w:ind w:firstLine="632" w:firstLineChars="200"/>
        <w:rPr>
          <w:rFonts w:hint="eastAsia" w:ascii="仿宋_GB2312"/>
          <w:szCs w:val="32"/>
        </w:rPr>
      </w:pPr>
      <w:r>
        <w:rPr>
          <w:rFonts w:hint="eastAsia" w:ascii="仿宋_GB2312"/>
          <w:szCs w:val="32"/>
        </w:rPr>
        <w:t>（五）污染、损坏建筑小品及游艺、休息、浇灌、照明等设施；</w:t>
      </w:r>
    </w:p>
    <w:p>
      <w:pPr>
        <w:ind w:firstLine="632" w:firstLineChars="200"/>
        <w:rPr>
          <w:rFonts w:hint="eastAsia" w:ascii="仿宋_GB2312"/>
          <w:szCs w:val="32"/>
        </w:rPr>
      </w:pPr>
      <w:r>
        <w:rPr>
          <w:rFonts w:hint="eastAsia" w:ascii="仿宋_GB2312"/>
          <w:szCs w:val="32"/>
        </w:rPr>
        <w:t>（六）损毁绿篱、花坛、草坪；</w:t>
      </w:r>
    </w:p>
    <w:p>
      <w:pPr>
        <w:ind w:firstLine="632" w:firstLineChars="200"/>
        <w:rPr>
          <w:rFonts w:hint="eastAsia" w:ascii="仿宋_GB2312"/>
          <w:szCs w:val="32"/>
        </w:rPr>
      </w:pPr>
      <w:r>
        <w:rPr>
          <w:rFonts w:hint="eastAsia" w:ascii="仿宋_GB2312"/>
          <w:szCs w:val="32"/>
        </w:rPr>
        <w:t>（七）在绿地内擅自设置户外广告、搭建构筑物；</w:t>
      </w:r>
    </w:p>
    <w:p>
      <w:pPr>
        <w:ind w:firstLine="632" w:firstLineChars="200"/>
        <w:rPr>
          <w:rFonts w:hint="eastAsia" w:ascii="仿宋_GB2312"/>
          <w:szCs w:val="32"/>
        </w:rPr>
      </w:pPr>
      <w:r>
        <w:rPr>
          <w:rFonts w:hint="eastAsia" w:ascii="仿宋_GB2312"/>
          <w:szCs w:val="32"/>
        </w:rPr>
        <w:t>（八）在公园绿地内擅自设置商业、服务摊点等经营性设施及项目；</w:t>
      </w:r>
    </w:p>
    <w:p>
      <w:pPr>
        <w:ind w:firstLine="632" w:firstLineChars="200"/>
        <w:rPr>
          <w:rFonts w:hint="eastAsia" w:ascii="仿宋_GB2312"/>
          <w:szCs w:val="32"/>
        </w:rPr>
      </w:pPr>
      <w:r>
        <w:rPr>
          <w:rFonts w:hint="eastAsia" w:ascii="仿宋_GB2312"/>
          <w:szCs w:val="32"/>
        </w:rPr>
        <w:t>（九）其他损害城市绿化的行为。</w:t>
      </w:r>
    </w:p>
    <w:p>
      <w:pPr>
        <w:ind w:firstLine="632" w:firstLineChars="200"/>
        <w:rPr>
          <w:rFonts w:hint="eastAsia" w:ascii="仿宋_GB2312"/>
          <w:szCs w:val="32"/>
        </w:rPr>
      </w:pPr>
      <w:r>
        <w:rPr>
          <w:rFonts w:hint="eastAsia" w:ascii="黑体" w:eastAsia="黑体"/>
          <w:szCs w:val="32"/>
        </w:rPr>
        <w:t>第三十条</w:t>
      </w:r>
      <w:r>
        <w:rPr>
          <w:rFonts w:hint="eastAsia" w:ascii="仿宋_GB2312"/>
          <w:szCs w:val="32"/>
        </w:rPr>
        <w:t xml:space="preserve">  对城市古树名木实行统一管理，分别养护。市、县（市、区）城市绿化行政主管部门，应当建立古树名木档案，设置标牌，制定保护措施，划定保护范围，加强养护管理和社会宣传。在单位管界内或者私人庭院内的古树名木，由该单位或者居民负责养护，城市绿化行政主管部门负责监督和技术指导，市、县（市、区）人民政府应当给予补助。</w:t>
      </w:r>
    </w:p>
    <w:p>
      <w:pPr>
        <w:ind w:firstLine="632" w:firstLineChars="200"/>
        <w:rPr>
          <w:rFonts w:hint="eastAsia" w:ascii="仿宋_GB2312"/>
          <w:szCs w:val="32"/>
        </w:rPr>
      </w:pPr>
      <w:r>
        <w:rPr>
          <w:rFonts w:hint="eastAsia" w:ascii="黑体" w:eastAsia="黑体"/>
          <w:szCs w:val="32"/>
        </w:rPr>
        <w:t xml:space="preserve">第三十一条 </w:t>
      </w:r>
      <w:r>
        <w:rPr>
          <w:rFonts w:hint="eastAsia" w:ascii="仿宋_GB2312"/>
          <w:szCs w:val="32"/>
        </w:rPr>
        <w:t xml:space="preserve"> 禁止下列损害古树名木的行为：</w:t>
      </w:r>
    </w:p>
    <w:p>
      <w:pPr>
        <w:ind w:firstLine="632" w:firstLineChars="200"/>
        <w:rPr>
          <w:rFonts w:hint="eastAsia" w:ascii="仿宋_GB2312"/>
          <w:szCs w:val="32"/>
        </w:rPr>
      </w:pPr>
      <w:r>
        <w:rPr>
          <w:rFonts w:hint="eastAsia" w:ascii="仿宋_GB2312"/>
          <w:szCs w:val="32"/>
        </w:rPr>
        <w:t>（一）砍伐、损伤或者擅自迁移古树名木；</w:t>
      </w:r>
    </w:p>
    <w:p>
      <w:pPr>
        <w:ind w:firstLine="632" w:firstLineChars="200"/>
        <w:rPr>
          <w:rFonts w:hint="eastAsia" w:ascii="仿宋_GB2312"/>
          <w:szCs w:val="32"/>
        </w:rPr>
      </w:pPr>
      <w:r>
        <w:rPr>
          <w:rFonts w:hint="eastAsia" w:ascii="仿宋_GB2312"/>
          <w:szCs w:val="32"/>
        </w:rPr>
        <w:t>（二）损坏古树名木的标牌及保护设施；</w:t>
      </w:r>
    </w:p>
    <w:p>
      <w:pPr>
        <w:ind w:firstLine="632" w:firstLineChars="200"/>
        <w:rPr>
          <w:rFonts w:hint="eastAsia" w:ascii="仿宋_GB2312"/>
          <w:szCs w:val="32"/>
        </w:rPr>
      </w:pPr>
      <w:r>
        <w:rPr>
          <w:rFonts w:hint="eastAsia" w:ascii="仿宋_GB2312"/>
          <w:szCs w:val="32"/>
        </w:rPr>
        <w:t>（三）在古树名木树冠五米范围内新建、改建、扩建建筑物、构筑物，建设道路，铺设管线，挖坑、取土、倾倒污水污物；</w:t>
      </w:r>
    </w:p>
    <w:p>
      <w:pPr>
        <w:ind w:firstLine="632" w:firstLineChars="200"/>
        <w:rPr>
          <w:rFonts w:hint="eastAsia" w:ascii="仿宋_GB2312"/>
          <w:szCs w:val="32"/>
        </w:rPr>
      </w:pPr>
      <w:r>
        <w:rPr>
          <w:rFonts w:hint="eastAsia" w:ascii="仿宋_GB2312"/>
          <w:szCs w:val="32"/>
        </w:rPr>
        <w:t>（四）在距树干三米范围内硬化地面；</w:t>
      </w:r>
    </w:p>
    <w:p>
      <w:pPr>
        <w:ind w:firstLine="632" w:firstLineChars="200"/>
        <w:rPr>
          <w:rFonts w:hint="eastAsia" w:ascii="仿宋_GB2312"/>
          <w:szCs w:val="32"/>
        </w:rPr>
      </w:pPr>
      <w:r>
        <w:rPr>
          <w:rFonts w:hint="eastAsia" w:ascii="仿宋_GB2312"/>
          <w:szCs w:val="32"/>
        </w:rPr>
        <w:t>（五）其他损害古树名木的行为。</w:t>
      </w:r>
    </w:p>
    <w:p>
      <w:pPr>
        <w:ind w:firstLine="632" w:firstLineChars="200"/>
        <w:rPr>
          <w:rFonts w:hint="eastAsia" w:ascii="仿宋_GB2312"/>
          <w:szCs w:val="32"/>
        </w:rPr>
      </w:pPr>
    </w:p>
    <w:p>
      <w:pPr>
        <w:jc w:val="center"/>
        <w:rPr>
          <w:rFonts w:hint="eastAsia" w:ascii="黑体" w:eastAsia="黑体"/>
          <w:szCs w:val="32"/>
        </w:rPr>
      </w:pPr>
      <w:r>
        <w:rPr>
          <w:rFonts w:hint="eastAsia" w:ascii="黑体" w:eastAsia="黑体"/>
          <w:szCs w:val="32"/>
        </w:rPr>
        <w:t>第四章  法律责任</w:t>
      </w:r>
    </w:p>
    <w:p>
      <w:pPr>
        <w:rPr>
          <w:rFonts w:hint="eastAsia" w:ascii="仿宋_GB2312"/>
          <w:szCs w:val="32"/>
        </w:rPr>
      </w:pPr>
    </w:p>
    <w:p>
      <w:pPr>
        <w:ind w:firstLine="632" w:firstLineChars="200"/>
        <w:rPr>
          <w:rFonts w:hint="eastAsia" w:ascii="仿宋_GB2312"/>
          <w:szCs w:val="32"/>
        </w:rPr>
      </w:pPr>
      <w:r>
        <w:rPr>
          <w:rFonts w:hint="eastAsia" w:ascii="黑体" w:eastAsia="黑体"/>
          <w:szCs w:val="32"/>
        </w:rPr>
        <w:t>第三十二条</w:t>
      </w:r>
      <w:r>
        <w:rPr>
          <w:rFonts w:hint="eastAsia" w:ascii="仿宋_GB2312"/>
          <w:szCs w:val="32"/>
        </w:rPr>
        <w:t xml:space="preserve">  违反本条例规定，有下列行为之一的，由城市管理综合执法部门按照下列规定予以处罚：</w:t>
      </w:r>
    </w:p>
    <w:p>
      <w:pPr>
        <w:ind w:firstLine="632" w:firstLineChars="200"/>
        <w:rPr>
          <w:rFonts w:hint="eastAsia" w:ascii="仿宋_GB2312"/>
          <w:szCs w:val="32"/>
        </w:rPr>
      </w:pPr>
      <w:r>
        <w:rPr>
          <w:rFonts w:hint="eastAsia" w:ascii="仿宋_GB2312"/>
          <w:szCs w:val="32"/>
        </w:rPr>
        <w:t>（一）违反第十条、第十一条规定，未按照批准的绿地率建设附属绿地的，责令限期改正，逾期不改正的，按照所缺绿地面积，并处以每平方米五千元以上三万元以下罚款；</w:t>
      </w:r>
    </w:p>
    <w:p>
      <w:pPr>
        <w:ind w:firstLine="632" w:firstLineChars="200"/>
        <w:rPr>
          <w:rFonts w:hint="eastAsia" w:ascii="仿宋_GB2312"/>
          <w:szCs w:val="32"/>
        </w:rPr>
      </w:pPr>
      <w:r>
        <w:rPr>
          <w:rFonts w:hint="eastAsia" w:ascii="仿宋_GB2312"/>
          <w:szCs w:val="32"/>
        </w:rPr>
        <w:t>（二）违反第十三条规定，附属绿化工程未按期完成的，责令限期完成，逾期未完成的，按照未完成的绿地面积，并处以每日每平方米十元以上三十元以下罚款；</w:t>
      </w:r>
    </w:p>
    <w:p>
      <w:pPr>
        <w:ind w:firstLine="632" w:firstLineChars="200"/>
        <w:rPr>
          <w:rFonts w:hint="eastAsia" w:ascii="仿宋_GB2312"/>
          <w:szCs w:val="32"/>
        </w:rPr>
      </w:pPr>
      <w:r>
        <w:rPr>
          <w:rFonts w:hint="eastAsia" w:ascii="仿宋_GB2312"/>
          <w:szCs w:val="32"/>
        </w:rPr>
        <w:t>（三）违反第十五条规定，建设单位未及时备案的，责令限期改正，逾期不改正的，并处以一千元以上五千元以下罚款。</w:t>
      </w:r>
    </w:p>
    <w:p>
      <w:pPr>
        <w:ind w:firstLine="632" w:firstLineChars="200"/>
        <w:rPr>
          <w:rFonts w:hint="eastAsia" w:ascii="仿宋_GB2312"/>
          <w:szCs w:val="32"/>
        </w:rPr>
      </w:pPr>
      <w:r>
        <w:rPr>
          <w:rFonts w:hint="eastAsia" w:ascii="黑体" w:eastAsia="黑体"/>
          <w:szCs w:val="32"/>
        </w:rPr>
        <w:t>第三十三条</w:t>
      </w:r>
      <w:r>
        <w:rPr>
          <w:rFonts w:hint="eastAsia" w:ascii="仿宋_GB2312"/>
          <w:szCs w:val="32"/>
        </w:rPr>
        <w:t xml:space="preserve">  违反本条例第十六条第二款、第二十四条第三款、第二十六条第三款规定，未按照规定进行公示的，由城市管理综合执法部门责令限期改正；逾期不改正的，并处以二千元以上一万元以下罚款。</w:t>
      </w:r>
    </w:p>
    <w:p>
      <w:pPr>
        <w:ind w:firstLine="632" w:firstLineChars="200"/>
        <w:rPr>
          <w:rFonts w:hint="eastAsia" w:ascii="仿宋_GB2312"/>
          <w:szCs w:val="32"/>
        </w:rPr>
      </w:pPr>
      <w:r>
        <w:rPr>
          <w:rFonts w:hint="eastAsia" w:ascii="黑体" w:eastAsia="黑体"/>
          <w:szCs w:val="32"/>
        </w:rPr>
        <w:t>第三十四条</w:t>
      </w:r>
      <w:r>
        <w:rPr>
          <w:rFonts w:hint="eastAsia" w:ascii="仿宋_GB2312"/>
          <w:szCs w:val="32"/>
        </w:rPr>
        <w:t xml:space="preserve">  违反本条例第十七条规定，未在规定的期限内进行绿化或者简易绿化的，由城市管理综合执法部门责令限期改正；逾期不改正的，按照未绿化面积，并处以每平方米五十元以上二百元以下罚款。</w:t>
      </w:r>
    </w:p>
    <w:p>
      <w:pPr>
        <w:ind w:firstLine="632" w:firstLineChars="200"/>
        <w:rPr>
          <w:rFonts w:hint="eastAsia" w:ascii="仿宋_GB2312"/>
          <w:szCs w:val="32"/>
        </w:rPr>
      </w:pPr>
      <w:r>
        <w:rPr>
          <w:rFonts w:hint="eastAsia" w:ascii="黑体" w:eastAsia="黑体"/>
          <w:szCs w:val="32"/>
        </w:rPr>
        <w:t xml:space="preserve">第三十五条 </w:t>
      </w:r>
      <w:r>
        <w:rPr>
          <w:rFonts w:hint="eastAsia" w:ascii="仿宋_GB2312"/>
          <w:szCs w:val="32"/>
        </w:rPr>
        <w:t xml:space="preserve"> 违反本条例第二十二条规定，绿地养护责任人未履行养护责任或者养护不当造成绿地严重损害的，由城市管理综合执法部门责令限期改正；逾期不改正的，按照被损害绿地面积，并处以每平方米五十元以上二百元以下罚款。</w:t>
      </w:r>
    </w:p>
    <w:p>
      <w:pPr>
        <w:ind w:firstLine="632" w:firstLineChars="200"/>
        <w:rPr>
          <w:rFonts w:hint="eastAsia" w:ascii="仿宋_GB2312"/>
          <w:szCs w:val="32"/>
        </w:rPr>
      </w:pPr>
      <w:r>
        <w:rPr>
          <w:rFonts w:hint="eastAsia" w:ascii="黑体" w:eastAsia="黑体"/>
          <w:szCs w:val="32"/>
        </w:rPr>
        <w:t>第三十六条</w:t>
      </w:r>
      <w:r>
        <w:rPr>
          <w:rFonts w:hint="eastAsia" w:ascii="仿宋_GB2312"/>
          <w:szCs w:val="32"/>
        </w:rPr>
        <w:t xml:space="preserve">  违反本条例规定，有下列行为之一的，由城市管理综合执法部门予以处罚；造成损失的，依法承担赔偿责任：</w:t>
      </w:r>
    </w:p>
    <w:p>
      <w:pPr>
        <w:ind w:firstLine="632" w:firstLineChars="200"/>
        <w:rPr>
          <w:rFonts w:hint="eastAsia" w:ascii="仿宋_GB2312"/>
          <w:szCs w:val="32"/>
        </w:rPr>
      </w:pPr>
      <w:r>
        <w:rPr>
          <w:rFonts w:hint="eastAsia" w:ascii="仿宋_GB2312"/>
          <w:szCs w:val="32"/>
        </w:rPr>
        <w:t>（一）违反第二十三条、第二十四条规定，擅自占用城市绿地或者改变城市绿地使用性质的，责令限期恢复原状，逾期不恢复的，并处以每平方米一千元以上五千元以下罚款；</w:t>
      </w:r>
    </w:p>
    <w:p>
      <w:pPr>
        <w:ind w:firstLine="632" w:firstLineChars="200"/>
        <w:rPr>
          <w:rFonts w:hint="eastAsia" w:ascii="仿宋_GB2312"/>
          <w:szCs w:val="32"/>
        </w:rPr>
      </w:pPr>
      <w:r>
        <w:rPr>
          <w:rFonts w:hint="eastAsia" w:ascii="仿宋_GB2312"/>
          <w:szCs w:val="32"/>
        </w:rPr>
        <w:t>（二）违反第二十四条规定，临时占用城市绿地期满后，未按照规定期限恢复绿地的，从逾期之日起，处以每日每平方米五十元以上一百元以下罚款；</w:t>
      </w:r>
    </w:p>
    <w:p>
      <w:pPr>
        <w:ind w:firstLine="632" w:firstLineChars="200"/>
        <w:rPr>
          <w:rFonts w:hint="eastAsia" w:ascii="仿宋_GB2312"/>
          <w:szCs w:val="32"/>
        </w:rPr>
      </w:pPr>
      <w:r>
        <w:rPr>
          <w:rFonts w:hint="eastAsia" w:ascii="仿宋_GB2312"/>
          <w:szCs w:val="32"/>
        </w:rPr>
        <w:t>（三）违反第二十六条规定，擅自砍伐、移植城市树木的，处以每株一千元以上一万元以下罚款。</w:t>
      </w:r>
    </w:p>
    <w:p>
      <w:pPr>
        <w:ind w:firstLine="632" w:firstLineChars="200"/>
        <w:rPr>
          <w:rFonts w:hint="eastAsia" w:ascii="仿宋_GB2312"/>
          <w:szCs w:val="32"/>
        </w:rPr>
      </w:pPr>
      <w:r>
        <w:rPr>
          <w:rFonts w:hint="eastAsia" w:ascii="黑体" w:eastAsia="黑体"/>
          <w:szCs w:val="32"/>
        </w:rPr>
        <w:t>第三十七条</w:t>
      </w:r>
      <w:r>
        <w:rPr>
          <w:rFonts w:hint="eastAsia" w:ascii="仿宋_GB2312"/>
          <w:szCs w:val="32"/>
        </w:rPr>
        <w:t xml:space="preserve">  违反本条例第二十九条规定，有下列行为之一的，由城市管理综合执法部门责令停止侵害，并按照下列规定予以处罚；造成损失的，依法承担赔偿责任：</w:t>
      </w:r>
    </w:p>
    <w:p>
      <w:pPr>
        <w:ind w:firstLine="632" w:firstLineChars="200"/>
        <w:rPr>
          <w:rFonts w:hint="eastAsia" w:ascii="仿宋_GB2312"/>
          <w:szCs w:val="32"/>
        </w:rPr>
      </w:pPr>
      <w:r>
        <w:rPr>
          <w:rFonts w:hint="eastAsia" w:ascii="仿宋_GB2312"/>
          <w:szCs w:val="32"/>
        </w:rPr>
        <w:t>（一）违反第一项至第五项，及第九项规定之一的，责令改正，并处以一百元以上一千元以下罚款；</w:t>
      </w:r>
    </w:p>
    <w:p>
      <w:pPr>
        <w:ind w:firstLine="632" w:firstLineChars="200"/>
        <w:rPr>
          <w:rFonts w:hint="eastAsia" w:ascii="仿宋_GB2312"/>
          <w:szCs w:val="32"/>
        </w:rPr>
      </w:pPr>
      <w:r>
        <w:rPr>
          <w:rFonts w:hint="eastAsia" w:ascii="仿宋_GB2312"/>
          <w:szCs w:val="32"/>
        </w:rPr>
        <w:t>（二）违反第六项规定的，责令限期恢复原状，并处以每平方米五百元以上一千元以下罚款；</w:t>
      </w:r>
    </w:p>
    <w:p>
      <w:pPr>
        <w:ind w:firstLine="632" w:firstLineChars="200"/>
        <w:rPr>
          <w:rFonts w:hint="eastAsia" w:ascii="仿宋_GB2312"/>
          <w:szCs w:val="32"/>
        </w:rPr>
      </w:pPr>
      <w:r>
        <w:rPr>
          <w:rFonts w:hint="eastAsia" w:ascii="仿宋_GB2312"/>
          <w:szCs w:val="32"/>
        </w:rPr>
        <w:t>（三）违反第七项规定的，责令限期拆除，并处以每处五千元以上一万元以下罚款；</w:t>
      </w:r>
    </w:p>
    <w:p>
      <w:pPr>
        <w:ind w:firstLine="632" w:firstLineChars="200"/>
        <w:rPr>
          <w:rFonts w:hint="eastAsia" w:ascii="仿宋_GB2312"/>
          <w:szCs w:val="32"/>
        </w:rPr>
      </w:pPr>
      <w:r>
        <w:rPr>
          <w:rFonts w:hint="eastAsia" w:ascii="仿宋_GB2312"/>
          <w:szCs w:val="32"/>
        </w:rPr>
        <w:t>（四）违反第八项规定的，处以每处一千元以上五千元以下罚款。</w:t>
      </w:r>
    </w:p>
    <w:p>
      <w:pPr>
        <w:ind w:firstLine="632" w:firstLineChars="200"/>
        <w:rPr>
          <w:rFonts w:hint="eastAsia" w:ascii="仿宋_GB2312"/>
          <w:szCs w:val="32"/>
        </w:rPr>
      </w:pPr>
      <w:r>
        <w:rPr>
          <w:rFonts w:hint="eastAsia" w:ascii="黑体" w:eastAsia="黑体"/>
          <w:szCs w:val="32"/>
        </w:rPr>
        <w:t xml:space="preserve">第三十八条 </w:t>
      </w:r>
      <w:r>
        <w:rPr>
          <w:rFonts w:hint="eastAsia" w:ascii="仿宋_GB2312"/>
          <w:szCs w:val="32"/>
        </w:rPr>
        <w:t xml:space="preserve"> 违反本条例第三十一条规定，有下列行为之一的，由城市管理综合执法部门按照下列规定予以处罚；造成损失的，依法承担赔偿责任：</w:t>
      </w:r>
    </w:p>
    <w:p>
      <w:pPr>
        <w:ind w:firstLine="632" w:firstLineChars="200"/>
        <w:rPr>
          <w:rFonts w:hint="eastAsia" w:ascii="仿宋_GB2312"/>
          <w:szCs w:val="32"/>
        </w:rPr>
      </w:pPr>
      <w:r>
        <w:rPr>
          <w:rFonts w:hint="eastAsia" w:ascii="仿宋_GB2312"/>
          <w:szCs w:val="32"/>
        </w:rPr>
        <w:t>（一）违反第一项规定，砍伐、损伤或者擅自迁移古树名木的，处以每株五万元以上五十万元以下罚款；</w:t>
      </w:r>
    </w:p>
    <w:p>
      <w:pPr>
        <w:ind w:firstLine="632" w:firstLineChars="200"/>
        <w:rPr>
          <w:rFonts w:hint="eastAsia" w:ascii="仿宋_GB2312"/>
          <w:szCs w:val="32"/>
        </w:rPr>
      </w:pPr>
      <w:r>
        <w:rPr>
          <w:rFonts w:hint="eastAsia" w:ascii="仿宋_GB2312"/>
          <w:szCs w:val="32"/>
        </w:rPr>
        <w:t>（二）违反第二项规定，损坏古树名木标牌的，处以五十元以上二百元以下罚款，损坏古树名木保护设施的，处以一千元以上五千元以下罚款；</w:t>
      </w:r>
    </w:p>
    <w:p>
      <w:pPr>
        <w:ind w:firstLine="632" w:firstLineChars="200"/>
        <w:rPr>
          <w:rFonts w:hint="eastAsia" w:ascii="仿宋_GB2312"/>
          <w:szCs w:val="32"/>
        </w:rPr>
      </w:pPr>
      <w:r>
        <w:rPr>
          <w:rFonts w:hint="eastAsia" w:ascii="仿宋_GB2312"/>
          <w:szCs w:val="32"/>
        </w:rPr>
        <w:t>（三）违反第三项、第四项、第五项规定之一的，责令限期改正或者拆除，并处以二千元以上一万元以下罚款。</w:t>
      </w:r>
    </w:p>
    <w:p>
      <w:pPr>
        <w:ind w:firstLine="632" w:firstLineChars="200"/>
        <w:rPr>
          <w:rFonts w:hint="eastAsia" w:ascii="仿宋_GB2312"/>
          <w:szCs w:val="32"/>
        </w:rPr>
      </w:pPr>
      <w:r>
        <w:rPr>
          <w:rFonts w:hint="eastAsia" w:ascii="黑体" w:eastAsia="黑体"/>
          <w:szCs w:val="32"/>
        </w:rPr>
        <w:t>第三十九条</w:t>
      </w:r>
      <w:r>
        <w:rPr>
          <w:rFonts w:hint="eastAsia" w:ascii="仿宋_GB2312"/>
          <w:szCs w:val="32"/>
        </w:rPr>
        <w:t xml:space="preserve">  市、县（市、区）人民政府有关部门有下列行为之一的</w:t>
      </w:r>
      <w:r>
        <w:rPr>
          <w:rFonts w:hint="eastAsia" w:ascii="仿宋_GB2312"/>
          <w:szCs w:val="32"/>
          <w:lang w:eastAsia="zh-CN"/>
        </w:rPr>
        <w:t>，</w:t>
      </w:r>
      <w:r>
        <w:rPr>
          <w:rFonts w:hint="eastAsia" w:ascii="仿宋_GB2312"/>
          <w:szCs w:val="32"/>
        </w:rPr>
        <w:t>由同级人民政府或者上级人民政府有关部门责令改正；对直接负责的主管人员和其他直接责任人员依法给予行政处分，构成犯罪的，依法追究刑事责任：</w:t>
      </w:r>
    </w:p>
    <w:p>
      <w:pPr>
        <w:ind w:firstLine="632" w:firstLineChars="200"/>
        <w:rPr>
          <w:rFonts w:hint="eastAsia" w:ascii="仿宋_GB2312"/>
          <w:szCs w:val="32"/>
        </w:rPr>
      </w:pPr>
      <w:r>
        <w:rPr>
          <w:rFonts w:hint="eastAsia" w:ascii="仿宋_GB2312"/>
          <w:szCs w:val="32"/>
        </w:rPr>
        <w:t>（一）违反规定改变规划绿地或者其他绿地性质和用途的；</w:t>
      </w:r>
    </w:p>
    <w:p>
      <w:pPr>
        <w:ind w:firstLine="632" w:firstLineChars="200"/>
        <w:rPr>
          <w:rFonts w:hint="eastAsia" w:ascii="仿宋_GB2312"/>
          <w:szCs w:val="32"/>
        </w:rPr>
      </w:pPr>
      <w:r>
        <w:rPr>
          <w:rFonts w:hint="eastAsia" w:ascii="仿宋_GB2312"/>
          <w:szCs w:val="32"/>
        </w:rPr>
        <w:t>（二）违反规定调整城市绿线的；</w:t>
      </w:r>
    </w:p>
    <w:p>
      <w:pPr>
        <w:ind w:firstLine="632" w:firstLineChars="200"/>
        <w:rPr>
          <w:rFonts w:hint="eastAsia" w:ascii="仿宋_GB2312"/>
          <w:szCs w:val="32"/>
        </w:rPr>
      </w:pPr>
      <w:r>
        <w:rPr>
          <w:rFonts w:hint="eastAsia" w:ascii="仿宋_GB2312"/>
          <w:szCs w:val="32"/>
        </w:rPr>
        <w:t>（三）违反规定降低绿地率标准批准建设项目有关手续的；</w:t>
      </w:r>
    </w:p>
    <w:p>
      <w:pPr>
        <w:ind w:firstLine="632" w:firstLineChars="200"/>
        <w:rPr>
          <w:rFonts w:hint="eastAsia" w:ascii="仿宋_GB2312"/>
          <w:szCs w:val="32"/>
        </w:rPr>
      </w:pPr>
      <w:r>
        <w:rPr>
          <w:rFonts w:hint="eastAsia" w:ascii="仿宋_GB2312"/>
          <w:szCs w:val="32"/>
        </w:rPr>
        <w:t>（四）其他滥用职权、玩忽职守、徇私舞弊行为。</w:t>
      </w:r>
    </w:p>
    <w:p>
      <w:pPr>
        <w:ind w:firstLine="632" w:firstLineChars="200"/>
        <w:rPr>
          <w:rFonts w:hint="eastAsia" w:ascii="仿宋_GB2312"/>
          <w:szCs w:val="32"/>
        </w:rPr>
      </w:pPr>
    </w:p>
    <w:p>
      <w:pPr>
        <w:jc w:val="center"/>
        <w:rPr>
          <w:rFonts w:hint="eastAsia" w:ascii="黑体" w:eastAsia="黑体"/>
          <w:szCs w:val="32"/>
        </w:rPr>
      </w:pPr>
      <w:r>
        <w:rPr>
          <w:rFonts w:hint="eastAsia" w:ascii="黑体" w:eastAsia="黑体"/>
          <w:szCs w:val="32"/>
        </w:rPr>
        <w:t>第五章  附则</w:t>
      </w:r>
    </w:p>
    <w:p>
      <w:pPr>
        <w:rPr>
          <w:rFonts w:hint="eastAsia" w:ascii="仿宋_GB2312"/>
          <w:szCs w:val="32"/>
        </w:rPr>
      </w:pPr>
      <w:bookmarkStart w:id="0" w:name="_GoBack"/>
      <w:bookmarkEnd w:id="0"/>
    </w:p>
    <w:p>
      <w:pPr>
        <w:ind w:firstLine="632" w:firstLineChars="200"/>
        <w:rPr>
          <w:rFonts w:hint="eastAsia" w:ascii="仿宋_GB2312"/>
          <w:szCs w:val="32"/>
        </w:rPr>
      </w:pPr>
      <w:r>
        <w:rPr>
          <w:rFonts w:hint="eastAsia" w:ascii="黑体" w:eastAsia="黑体"/>
          <w:szCs w:val="32"/>
        </w:rPr>
        <w:t>第四十条</w:t>
      </w:r>
      <w:r>
        <w:rPr>
          <w:rFonts w:hint="eastAsia" w:ascii="仿宋_GB2312"/>
          <w:szCs w:val="32"/>
        </w:rPr>
        <w:t xml:space="preserve">  本市行政区域的其他建制镇规划区、官庄工区、鸭河工区、各类城镇新区、开发区、产业集聚区等区域的绿化管理，参照本条例执行。</w:t>
      </w:r>
    </w:p>
    <w:p>
      <w:pPr>
        <w:ind w:firstLine="632" w:firstLineChars="200"/>
        <w:rPr>
          <w:rFonts w:hint="eastAsia" w:ascii="仿宋_GB2312"/>
          <w:szCs w:val="32"/>
        </w:rPr>
      </w:pPr>
      <w:r>
        <w:rPr>
          <w:rFonts w:hint="eastAsia" w:ascii="黑体" w:eastAsia="黑体"/>
          <w:szCs w:val="32"/>
        </w:rPr>
        <w:t>第四十一条</w:t>
      </w:r>
      <w:r>
        <w:rPr>
          <w:rFonts w:hint="eastAsia" w:ascii="仿宋_GB2312"/>
          <w:szCs w:val="32"/>
        </w:rPr>
        <w:t xml:space="preserve">  本条例自2018年3月1日起施行。</w:t>
      </w:r>
    </w:p>
    <w:p>
      <w:pPr>
        <w:rPr>
          <w:rFonts w:hint="eastAsia" w:ascii="仿宋_GB2312" w:hAnsi="仿宋_GB2312" w:eastAsia="仿宋_GB2312" w:cs="仿宋_GB2312"/>
          <w:sz w:val="32"/>
          <w:szCs w:val="32"/>
        </w:rPr>
      </w:pPr>
    </w:p>
    <w:sectPr>
      <w:footerReference r:id="rId3" w:type="default"/>
      <w:pgSz w:w="11906" w:h="16838"/>
      <w:pgMar w:top="2098" w:right="1474" w:bottom="1984" w:left="1587" w:header="851" w:footer="992" w:gutter="0"/>
      <w:paperSrc/>
      <w:cols w:space="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Palatino Linotype">
    <w:panose1 w:val="02040502050505030304"/>
    <w:charset w:val="00"/>
    <w:family w:val="auto"/>
    <w:pitch w:val="default"/>
    <w:sig w:usb0="E0000287" w:usb1="40000013" w:usb2="00000000" w:usb3="00000000" w:csb0="2000019F" w:csb1="00000000"/>
  </w:font>
  <w:font w:name="Lucida Sans">
    <w:panose1 w:val="020B0602030504020204"/>
    <w:charset w:val="00"/>
    <w:family w:val="auto"/>
    <w:pitch w:val="default"/>
    <w:sig w:usb0="00000003" w:usb1="00000000" w:usb2="00000000" w:usb3="00000000" w:csb0="20000001" w:csb1="00000000"/>
  </w:font>
  <w:font w:name="仿宋_GB2312">
    <w:panose1 w:val="02010609030101010101"/>
    <w:charset w:val="86"/>
    <w:family w:val="modern"/>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楷体_GB2312">
    <w:panose1 w:val="02010609030101010101"/>
    <w:charset w:val="86"/>
    <w:family w:val="auto"/>
    <w:pitch w:val="default"/>
    <w:sig w:usb0="00000001" w:usb1="080E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幼圆">
    <w:panose1 w:val="02010509060101010101"/>
    <w:charset w:val="86"/>
    <w:family w:val="auto"/>
    <w:pitch w:val="default"/>
    <w:sig w:usb0="00000001" w:usb1="080E0000" w:usb2="00000000" w:usb3="00000000" w:csb0="00040000" w:csb1="00000000"/>
  </w:font>
  <w:font w:name="宋体-PUA">
    <w:altName w:val="宋体"/>
    <w:panose1 w:val="02010600030101010101"/>
    <w:charset w:val="86"/>
    <w:family w:val="auto"/>
    <w:pitch w:val="default"/>
    <w:sig w:usb0="00000000" w:usb1="0000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EU-B1">
    <w:altName w:val="宋体"/>
    <w:panose1 w:val="03000509000000000000"/>
    <w:charset w:val="86"/>
    <w:family w:val="auto"/>
    <w:pitch w:val="default"/>
    <w:sig w:usb0="00000000" w:usb1="00000000" w:usb2="00000000" w:usb3="00000000" w:csb0="00040000" w:csb1="00000000"/>
  </w:font>
  <w:font w:name="DotumChe">
    <w:panose1 w:val="020B0609000101010101"/>
    <w:charset w:val="81"/>
    <w:family w:val="auto"/>
    <w:pitch w:val="default"/>
    <w:sig w:usb0="B00002AF" w:usb1="69D77CFB" w:usb2="00000030" w:usb3="00000000" w:csb0="4008009F" w:csb1="DFD70000"/>
  </w:font>
  <w:font w:name="Dotum">
    <w:panose1 w:val="020B0600000101010101"/>
    <w:charset w:val="81"/>
    <w:family w:val="auto"/>
    <w:pitch w:val="default"/>
    <w:sig w:usb0="B00002AF" w:usb1="69D77CFB" w:usb2="00000030" w:usb3="00000000" w:csb0="4008009F" w:csb1="DFD70000"/>
  </w:font>
  <w:font w:name="C-KT">
    <w:altName w:val="宋体"/>
    <w:panose1 w:val="03000509000000000000"/>
    <w:charset w:val="86"/>
    <w:family w:val="auto"/>
    <w:pitch w:val="default"/>
    <w:sig w:usb0="00000000" w:usb1="0000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隶书">
    <w:panose1 w:val="02010509060101010101"/>
    <w:charset w:val="86"/>
    <w:family w:val="auto"/>
    <w:pitch w:val="default"/>
    <w:sig w:usb0="00000001" w:usb1="080E0000" w:usb2="00000000" w:usb3="00000000" w:csb0="00040000" w:csb1="00000000"/>
  </w:font>
  <w:font w:name="汉仪粗仿宋简">
    <w:altName w:val="仿宋"/>
    <w:panose1 w:val="02010604000101010101"/>
    <w:charset w:val="86"/>
    <w:family w:val="auto"/>
    <w:pitch w:val="default"/>
    <w:sig w:usb0="00000000" w:usb1="00000000" w:usb2="00000002" w:usb3="00000000" w:csb0="00040000" w:csb1="00000000"/>
  </w:font>
  <w:font w:name="方正黄草_GBK">
    <w:altName w:val="宋体"/>
    <w:panose1 w:val="03000509000000000000"/>
    <w:charset w:val="86"/>
    <w:family w:val="auto"/>
    <w:pitch w:val="default"/>
    <w:sig w:usb0="00000000" w:usb1="00000000" w:usb2="00000000" w:usb3="00000000" w:csb0="00040000" w:csb1="00000000"/>
  </w:font>
  <w:font w:name="方正魏碑_GBK">
    <w:altName w:val="宋体"/>
    <w:panose1 w:val="03000509000000000000"/>
    <w:charset w:val="86"/>
    <w:family w:val="auto"/>
    <w:pitch w:val="default"/>
    <w:sig w:usb0="00000000" w:usb1="00000000" w:usb2="00000000" w:usb3="00000000" w:csb0="00040000" w:csb1="00000000"/>
  </w:font>
  <w:font w:name="方正黑体_GBK">
    <w:altName w:val="Arial Unicode MS"/>
    <w:panose1 w:val="03000509000000000000"/>
    <w:charset w:val="86"/>
    <w:family w:val="auto"/>
    <w:pitch w:val="default"/>
    <w:sig w:usb0="00000000" w:usb1="00000000" w:usb2="00000000" w:usb3="00000000" w:csb0="00040000" w:csb1="00000000"/>
  </w:font>
  <w:font w:name="Wingdings">
    <w:panose1 w:val="05000000000000000000"/>
    <w:charset w:val="00"/>
    <w:family w:val="auto"/>
    <w:pitch w:val="default"/>
    <w:sig w:usb0="00000000" w:usb1="00000000" w:usb2="00000000" w:usb3="00000000" w:csb0="80000000" w:csb1="00000000"/>
  </w:font>
  <w:font w:name="方正大标宋简体">
    <w:altName w:val="Arial Unicode MS"/>
    <w:panose1 w:val="03000509000000000000"/>
    <w:charset w:val="86"/>
    <w:family w:val="auto"/>
    <w:pitch w:val="default"/>
    <w:sig w:usb0="00000000" w:usb1="00000000" w:usb2="00000000" w:usb3="00000000" w:csb0="00040000" w:csb1="00000000"/>
  </w:font>
  <w:font w:name="方正粗宋繁体">
    <w:altName w:val="宋体"/>
    <w:panose1 w:val="03000509000000000000"/>
    <w:charset w:val="86"/>
    <w:family w:val="auto"/>
    <w:pitch w:val="default"/>
    <w:sig w:usb0="00000000" w:usb1="0000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楷繁体">
    <w:altName w:val="楷体_GB2312"/>
    <w:panose1 w:val="03000509000000000000"/>
    <w:charset w:val="86"/>
    <w:family w:val="auto"/>
    <w:pitch w:val="default"/>
    <w:sig w:usb0="00000000" w:usb1="00000000" w:usb2="00000000" w:usb3="00000000" w:csb0="00040000" w:csb1="00000000"/>
  </w:font>
  <w:font w:name="方正中等线简体">
    <w:altName w:val="宋体"/>
    <w:panose1 w:val="03000509000000000000"/>
    <w:charset w:val="86"/>
    <w:family w:val="auto"/>
    <w:pitch w:val="default"/>
    <w:sig w:usb0="00000000" w:usb1="00000000" w:usb2="00000000" w:usb3="00000000" w:csb0="00040000" w:csb1="00000000"/>
  </w:font>
  <w:font w:name="方正书宋繁体">
    <w:altName w:val="宋体"/>
    <w:panose1 w:val="03000509000000000000"/>
    <w:charset w:val="86"/>
    <w:family w:val="auto"/>
    <w:pitch w:val="default"/>
    <w:sig w:usb0="00000000" w:usb1="00000000" w:usb2="00000000" w:usb3="00000000" w:csb0="00040000" w:csb1="00000000"/>
  </w:font>
  <w:font w:name="方正仿宋_GBK">
    <w:altName w:val="Arial Unicode MS"/>
    <w:panose1 w:val="03000509000000000000"/>
    <w:charset w:val="86"/>
    <w:family w:val="auto"/>
    <w:pitch w:val="default"/>
    <w:sig w:usb0="00000000" w:usb1="00000000" w:usb2="00000000" w:usb3="00000000" w:csb0="00040000" w:csb1="00000000"/>
  </w:font>
  <w:font w:name="方正准圆简体">
    <w:altName w:val="宋体"/>
    <w:panose1 w:val="03000509000000000000"/>
    <w:charset w:val="86"/>
    <w:family w:val="auto"/>
    <w:pitch w:val="default"/>
    <w:sig w:usb0="00000000" w:usb1="00000000" w:usb2="00000000" w:usb3="00000000" w:csb0="00040000" w:csb1="00000000"/>
  </w:font>
  <w:font w:name="方正大黑简体">
    <w:altName w:val="黑体"/>
    <w:panose1 w:val="03000509000000000000"/>
    <w:charset w:val="86"/>
    <w:family w:val="auto"/>
    <w:pitch w:val="default"/>
    <w:sig w:usb0="00000000" w:usb1="00000000" w:usb2="00000000" w:usb3="00000000" w:csb0="00040000" w:csb1="00000000"/>
  </w:font>
  <w:font w:name="方正宋三_GBK">
    <w:altName w:val="宋体"/>
    <w:panose1 w:val="03000509000000000000"/>
    <w:charset w:val="86"/>
    <w:family w:val="auto"/>
    <w:pitch w:val="default"/>
    <w:sig w:usb0="00000000" w:usb1="00000000" w:usb2="00000000" w:usb3="00000000" w:csb0="00040000" w:csb1="00000000"/>
  </w:font>
  <w:font w:name="方正小标宋_GBK">
    <w:altName w:val="Arial Unicode MS"/>
    <w:panose1 w:val="03000509000000000000"/>
    <w:charset w:val="86"/>
    <w:family w:val="auto"/>
    <w:pitch w:val="default"/>
    <w:sig w:usb0="00000000" w:usb1="00000000" w:usb2="00000000" w:usb3="00000000" w:csb0="00040000" w:csb1="00000000"/>
  </w:font>
  <w:font w:name="方正幼线繁体">
    <w:altName w:val="宋体"/>
    <w:panose1 w:val="03000509000000000000"/>
    <w:charset w:val="86"/>
    <w:family w:val="auto"/>
    <w:pitch w:val="default"/>
    <w:sig w:usb0="00000000" w:usb1="00000000" w:usb2="00000000" w:usb3="00000000" w:csb0="00040000" w:csb1="00000000"/>
  </w:font>
  <w:font w:name="方正彩云简体">
    <w:altName w:val="宋体"/>
    <w:panose1 w:val="03000509000000000000"/>
    <w:charset w:val="86"/>
    <w:family w:val="auto"/>
    <w:pitch w:val="default"/>
    <w:sig w:usb0="00000000" w:usb1="00000000" w:usb2="00000000" w:usb3="00000000" w:csb0="00040000" w:csb1="00000000"/>
  </w:font>
  <w:font w:name="方正细圆_GBK">
    <w:altName w:val="宋体"/>
    <w:panose1 w:val="03000509000000000000"/>
    <w:charset w:val="86"/>
    <w:family w:val="auto"/>
    <w:pitch w:val="default"/>
    <w:sig w:usb0="00000000" w:usb1="00000000" w:usb2="00000000" w:usb3="00000000" w:csb0="00040000" w:csb1="00000000"/>
  </w:font>
  <w:font w:name="方正细倩繁体">
    <w:altName w:val="宋体"/>
    <w:panose1 w:val="03000509000000000000"/>
    <w:charset w:val="86"/>
    <w:family w:val="auto"/>
    <w:pitch w:val="default"/>
    <w:sig w:usb0="00000000" w:usb1="00000000" w:usb2="00000000" w:usb3="00000000" w:csb0="00040000" w:csb1="00000000"/>
  </w:font>
  <w:font w:name="方正粗圆繁体">
    <w:altName w:val="宋体"/>
    <w:panose1 w:val="03000509000000000000"/>
    <w:charset w:val="86"/>
    <w:family w:val="auto"/>
    <w:pitch w:val="default"/>
    <w:sig w:usb0="00000000" w:usb1="00000000" w:usb2="00000000" w:usb3="00000000" w:csb0="00040000" w:csb1="00000000"/>
  </w:font>
  <w:font w:name="方正粗宋_GBK">
    <w:altName w:val="宋体"/>
    <w:panose1 w:val="03000509000000000000"/>
    <w:charset w:val="86"/>
    <w:family w:val="auto"/>
    <w:pitch w:val="default"/>
    <w:sig w:usb0="00000000" w:usb1="00000000" w:usb2="00000000" w:usb3="00000000" w:csb0="00040000" w:csb1="00000000"/>
  </w:font>
  <w:font w:name="方正粗宋简体">
    <w:altName w:val="宋体"/>
    <w:panose1 w:val="03000509000000000000"/>
    <w:charset w:val="86"/>
    <w:family w:val="auto"/>
    <w:pitch w:val="default"/>
    <w:sig w:usb0="00000000" w:usb1="00000000" w:usb2="00000000" w:usb3="00000000" w:csb0="00040000" w:csb1="00000000"/>
  </w:font>
  <w:font w:name="方正粗黑繁体">
    <w:altName w:val="黑体"/>
    <w:panose1 w:val="03000509000000000000"/>
    <w:charset w:val="86"/>
    <w:family w:val="auto"/>
    <w:pitch w:val="default"/>
    <w:sig w:usb0="00000000" w:usb1="00000000" w:usb2="00000000" w:usb3="00000000" w:csb0="00040000" w:csb1="00000000"/>
  </w:font>
  <w:font w:name="方正细倩_GBK">
    <w:altName w:val="宋体"/>
    <w:panose1 w:val="03000509000000000000"/>
    <w:charset w:val="86"/>
    <w:family w:val="auto"/>
    <w:pitch w:val="default"/>
    <w:sig w:usb0="00000000" w:usb1="00000000" w:usb2="00000000" w:usb3="00000000" w:csb0="00040000" w:csb1="00000000"/>
  </w:font>
  <w:font w:name="方正粗倩繁体">
    <w:altName w:val="宋体"/>
    <w:panose1 w:val="03000509000000000000"/>
    <w:charset w:val="86"/>
    <w:family w:val="auto"/>
    <w:pitch w:val="default"/>
    <w:sig w:usb0="00000000" w:usb1="00000000" w:usb2="00000000" w:usb3="00000000" w:csb0="00040000" w:csb1="00000000"/>
  </w:font>
  <w:font w:name="方正粗倩简体">
    <w:altName w:val="宋体"/>
    <w:panose1 w:val="03000509000000000000"/>
    <w:charset w:val="86"/>
    <w:family w:val="auto"/>
    <w:pitch w:val="default"/>
    <w:sig w:usb0="00000000" w:usb1="00000000" w:usb2="00000000" w:usb3="00000000" w:csb0="00040000" w:csb1="00000000"/>
  </w:font>
  <w:font w:name="方正瘦金书_GBK">
    <w:altName w:val="宋体"/>
    <w:panose1 w:val="03000509000000000000"/>
    <w:charset w:val="86"/>
    <w:family w:val="auto"/>
    <w:pitch w:val="default"/>
    <w:sig w:usb0="00000000" w:usb1="00000000" w:usb2="00000000" w:usb3="00000000" w:csb0="00040000" w:csb1="00000000"/>
  </w:font>
  <w:font w:name="方正琥珀繁体">
    <w:altName w:val="宋体"/>
    <w:panose1 w:val="03000509000000000000"/>
    <w:charset w:val="86"/>
    <w:family w:val="auto"/>
    <w:pitch w:val="default"/>
    <w:sig w:usb0="00000000" w:usb1="00000000" w:usb2="00000000" w:usb3="00000000" w:csb0="00040000" w:csb1="00000000"/>
  </w:font>
  <w:font w:name="方正水柱简体">
    <w:altName w:val="Arial Unicode MS"/>
    <w:panose1 w:val="03000509000000000000"/>
    <w:charset w:val="86"/>
    <w:family w:val="auto"/>
    <w:pitch w:val="default"/>
    <w:sig w:usb0="00000000" w:usb1="00000000" w:usb2="00000000" w:usb3="00000000" w:csb0="00040000" w:csb1="00000000"/>
  </w:font>
  <w:font w:name="方正新报宋简体">
    <w:altName w:val="Arial Unicode MS"/>
    <w:panose1 w:val="03000509000000000000"/>
    <w:charset w:val="86"/>
    <w:family w:val="auto"/>
    <w:pitch w:val="default"/>
    <w:sig w:usb0="00000000" w:usb1="00000000" w:usb2="00000000" w:usb3="00000000" w:csb0="00040000" w:csb1="00000000"/>
  </w:font>
  <w:font w:name="方正报宋简体">
    <w:altName w:val="宋体"/>
    <w:panose1 w:val="03000509000000000000"/>
    <w:charset w:val="86"/>
    <w:family w:val="auto"/>
    <w:pitch w:val="default"/>
    <w:sig w:usb0="00000000" w:usb1="00000000" w:usb2="00000000" w:usb3="00000000" w:csb0="00040000" w:csb1="00000000"/>
  </w:font>
  <w:font w:name="方正新报宋_GBK">
    <w:altName w:val="宋体"/>
    <w:panose1 w:val="03000509000000000000"/>
    <w:charset w:val="86"/>
    <w:family w:val="auto"/>
    <w:pitch w:val="default"/>
    <w:sig w:usb0="00000000" w:usb1="00000000" w:usb2="00000000" w:usb3="00000000" w:csb0="00040000" w:csb1="00000000"/>
  </w:font>
  <w:font w:name="方正新舒体简体">
    <w:altName w:val="宋体"/>
    <w:panose1 w:val="03000509000000000000"/>
    <w:charset w:val="86"/>
    <w:family w:val="auto"/>
    <w:pitch w:val="default"/>
    <w:sig w:usb0="00000000" w:usb1="00000000" w:usb2="00000000" w:usb3="00000000" w:csb0="00040000" w:csb1="00000000"/>
  </w:font>
  <w:font w:name="方正水柱_GBK">
    <w:altName w:val="宋体"/>
    <w:panose1 w:val="03000509000000000000"/>
    <w:charset w:val="86"/>
    <w:family w:val="auto"/>
    <w:pitch w:val="default"/>
    <w:sig w:usb0="00000000" w:usb1="00000000" w:usb2="00000000" w:usb3="00000000" w:csb0="00040000" w:csb1="00000000"/>
  </w:font>
  <w:font w:name="方正水柱繁体">
    <w:altName w:val="Arial Unicode MS"/>
    <w:panose1 w:val="03000509000000000000"/>
    <w:charset w:val="86"/>
    <w:family w:val="auto"/>
    <w:pitch w:val="default"/>
    <w:sig w:usb0="00000000" w:usb1="00000000" w:usb2="00000000" w:usb3="00000000" w:csb0="00040000" w:csb1="00000000"/>
  </w:font>
  <w:font w:name="方正琥珀_GBK">
    <w:altName w:val="宋体"/>
    <w:panose1 w:val="03000509000000000000"/>
    <w:charset w:val="86"/>
    <w:family w:val="auto"/>
    <w:pitch w:val="default"/>
    <w:sig w:usb0="00000000" w:usb1="00000000" w:usb2="00000000" w:usb3="00000000" w:csb0="00040000" w:csb1="00000000"/>
  </w:font>
  <w:font w:name="方正琥珀简体">
    <w:altName w:val="Arial Unicode MS"/>
    <w:panose1 w:val="03000509000000000000"/>
    <w:charset w:val="86"/>
    <w:family w:val="auto"/>
    <w:pitch w:val="default"/>
    <w:sig w:usb0="00000000" w:usb1="00000000" w:usb2="00000000" w:usb3="00000000" w:csb0="00040000" w:csb1="00000000"/>
  </w:font>
  <w:font w:name="Wingdings 3">
    <w:panose1 w:val="05040102010807070707"/>
    <w:charset w:val="00"/>
    <w:family w:val="auto"/>
    <w:pitch w:val="default"/>
    <w:sig w:usb0="00000000" w:usb1="00000000" w:usb2="00000000" w:usb3="00000000" w:csb0="80000000" w:csb1="00000000"/>
  </w:font>
  <w:font w:name="Wingdings 2">
    <w:panose1 w:val="05020102010507070707"/>
    <w:charset w:val="00"/>
    <w:family w:val="auto"/>
    <w:pitch w:val="default"/>
    <w:sig w:usb0="00000000" w:usb1="00000000" w:usb2="00000000" w:usb3="00000000" w:csb0="80000000" w:csb1="00000000"/>
  </w:font>
  <w:font w:name="Webdings">
    <w:panose1 w:val="05030102010509060703"/>
    <w:charset w:val="00"/>
    <w:family w:val="auto"/>
    <w:pitch w:val="default"/>
    <w:sig w:usb0="00000000" w:usb1="00000000" w:usb2="00000000" w:usb3="00000000" w:csb0="80000000" w:csb1="00000000"/>
  </w:font>
  <w:font w:name="Verdana">
    <w:panose1 w:val="020B0604030504040204"/>
    <w:charset w:val="00"/>
    <w:family w:val="auto"/>
    <w:pitch w:val="default"/>
    <w:sig w:usb0="A10006FF" w:usb1="4000205B" w:usb2="00000010" w:usb3="00000000" w:csb0="2000019F" w:csb1="00000000"/>
  </w:font>
  <w:font w:name="Trebuchet MS">
    <w:panose1 w:val="020B0603020202020204"/>
    <w:charset w:val="00"/>
    <w:family w:val="auto"/>
    <w:pitch w:val="default"/>
    <w:sig w:usb0="00000287" w:usb1="00000000" w:usb2="00000000" w:usb3="00000000" w:csb0="2000009F" w:csb1="00000000"/>
  </w:font>
  <w:font w:name="Sylfaen">
    <w:panose1 w:val="010A0502050306030303"/>
    <w:charset w:val="00"/>
    <w:family w:val="auto"/>
    <w:pitch w:val="default"/>
    <w:sig w:usb0="04000687" w:usb1="00000000" w:usb2="00000000" w:usb3="00000000" w:csb0="2000009F" w:csb1="00000000"/>
  </w:font>
  <w:font w:name="MS Reference Sans Serif">
    <w:panose1 w:val="020B0604030504040204"/>
    <w:charset w:val="00"/>
    <w:family w:val="auto"/>
    <w:pitch w:val="default"/>
    <w:sig w:usb0="00000287" w:usb1="00000000" w:usb2="00000000" w:usb3="00000000" w:csb0="2000019F" w:csb1="00000000"/>
  </w:font>
  <w:font w:name="Franklin Gothic Medium">
    <w:panose1 w:val="020B0603020102020204"/>
    <w:charset w:val="00"/>
    <w:family w:val="auto"/>
    <w:pitch w:val="default"/>
    <w:sig w:usb0="00000287" w:usb1="00000000" w:usb2="00000000" w:usb3="00000000" w:csb0="2000009F" w:csb1="DFD70000"/>
  </w:font>
  <w:font w:name="Courier New">
    <w:panose1 w:val="02070309020205020404"/>
    <w:charset w:val="00"/>
    <w:family w:val="auto"/>
    <w:pitch w:val="default"/>
    <w:sig w:usb0="E0002AFF" w:usb1="C0007843" w:usb2="00000009" w:usb3="00000000" w:csb0="400001FF" w:csb1="FFFF0000"/>
  </w:font>
  <w:font w:name="Arial">
    <w:panose1 w:val="020B0604020202020204"/>
    <w:charset w:val="00"/>
    <w:family w:val="auto"/>
    <w:pitch w:val="default"/>
    <w:sig w:usb0="E0002AFF" w:usb1="C0007843" w:usb2="00000009" w:usb3="00000000" w:csb0="400001FF" w:csb1="FFFF0000"/>
  </w:font>
  <w:font w:name="PMingLiU">
    <w:panose1 w:val="02020500000000000000"/>
    <w:charset w:val="88"/>
    <w:family w:val="auto"/>
    <w:pitch w:val="default"/>
    <w:sig w:usb0="A00002FF" w:usb1="28CFFCFA" w:usb2="00000016" w:usb3="00000000" w:csb0="00100001" w:csb1="00000000"/>
  </w:font>
  <w:font w:name="MS Gothic">
    <w:panose1 w:val="020B0609070205080204"/>
    <w:charset w:val="80"/>
    <w:family w:val="auto"/>
    <w:pitch w:val="default"/>
    <w:sig w:usb0="E00002FF" w:usb1="6AC7FDFB" w:usb2="00000012" w:usb3="00000000" w:csb0="4002009F" w:csb1="DFD70000"/>
  </w:font>
  <w:font w:name="MingLiU">
    <w:panose1 w:val="02020509000000000000"/>
    <w:charset w:val="88"/>
    <w:family w:val="auto"/>
    <w:pitch w:val="default"/>
    <w:sig w:usb0="A00002FF" w:usb1="28CFFCFA" w:usb2="00000016" w:usb3="00000000" w:csb0="00100001" w:csb1="00000000"/>
  </w:font>
  <w:font w:name="GulimChe">
    <w:panose1 w:val="020B0609000101010101"/>
    <w:charset w:val="81"/>
    <w:family w:val="auto"/>
    <w:pitch w:val="default"/>
    <w:sig w:usb0="B00002AF" w:usb1="69D77CFB" w:usb2="00000030" w:usb3="00000000" w:csb0="4008009F" w:csb1="DFD70000"/>
  </w:font>
  <w:font w:name="EU-YT1">
    <w:altName w:val="宋体"/>
    <w:panose1 w:val="03000509000000000000"/>
    <w:charset w:val="86"/>
    <w:family w:val="auto"/>
    <w:pitch w:val="default"/>
    <w:sig w:usb0="00000000" w:usb1="00000000" w:usb2="00000000" w:usb3="00000000" w:csb0="00040000" w:csb1="00000000"/>
  </w:font>
  <w:font w:name="EU-YB">
    <w:altName w:val="宋体"/>
    <w:panose1 w:val="03000509000000000000"/>
    <w:charset w:val="86"/>
    <w:family w:val="auto"/>
    <w:pitch w:val="default"/>
    <w:sig w:usb0="00000000" w:usb1="00000000" w:usb2="00000000" w:usb3="00000000" w:csb0="00040000" w:csb1="00000000"/>
  </w:font>
  <w:font w:name="EU-XY">
    <w:altName w:val="宋体"/>
    <w:panose1 w:val="03000509000000000000"/>
    <w:charset w:val="86"/>
    <w:family w:val="auto"/>
    <w:pitch w:val="default"/>
    <w:sig w:usb0="00000000" w:usb1="00000000" w:usb2="00000000" w:usb3="00000000" w:csb0="00040000" w:csb1="00000000"/>
  </w:font>
  <w:font w:name="EU-XT">
    <w:altName w:val="宋体"/>
    <w:panose1 w:val="03000509000000000000"/>
    <w:charset w:val="86"/>
    <w:family w:val="auto"/>
    <w:pitch w:val="default"/>
    <w:sig w:usb0="00000000" w:usb1="00000000" w:usb2="00000000" w:usb3="00000000" w:csb0="00040000" w:csb1="00000000"/>
  </w:font>
  <w:font w:name="EU-XFX">
    <w:altName w:val="宋体"/>
    <w:panose1 w:val="03000509000000000000"/>
    <w:charset w:val="86"/>
    <w:family w:val="auto"/>
    <w:pitch w:val="default"/>
    <w:sig w:usb0="00000000" w:usb1="00000000" w:usb2="00000000" w:usb3="00000000" w:csb0="00040000" w:csb1="00000000"/>
  </w:font>
  <w:font w:name="EU-XF1">
    <w:altName w:val="宋体"/>
    <w:panose1 w:val="03000509000000000000"/>
    <w:charset w:val="86"/>
    <w:family w:val="auto"/>
    <w:pitch w:val="default"/>
    <w:sig w:usb0="00000000" w:usb1="00000000" w:usb2="00000000" w:usb3="00000000" w:csb0="00040000" w:csb1="00000000"/>
  </w:font>
  <w:font w:name="EU-X1">
    <w:altName w:val="宋体"/>
    <w:panose1 w:val="03000509000000000000"/>
    <w:charset w:val="86"/>
    <w:family w:val="auto"/>
    <w:pitch w:val="default"/>
    <w:sig w:usb0="00000000" w:usb1="00000000" w:usb2="00000000" w:usb3="00000000" w:csb0="00040000" w:csb1="00000000"/>
  </w:font>
  <w:font w:name="EU-TT">
    <w:altName w:val="宋体"/>
    <w:panose1 w:val="03000509000000000000"/>
    <w:charset w:val="86"/>
    <w:family w:val="auto"/>
    <w:pitch w:val="default"/>
    <w:sig w:usb0="00000000" w:usb1="00000000" w:usb2="00000000" w:usb3="00000000" w:csb0="00040000" w:csb1="00000000"/>
  </w:font>
  <w:font w:name="方正准圆_GBK">
    <w:altName w:val="宋体"/>
    <w:panose1 w:val="03000509000000000000"/>
    <w:charset w:val="86"/>
    <w:family w:val="auto"/>
    <w:pitch w:val="default"/>
    <w:sig w:usb0="00000000" w:usb1="00000000" w:usb2="00000000" w:usb3="00000000" w:csb0="00040000" w:csb1="00000000"/>
  </w:font>
  <w:font w:name="方正华隶_GBK">
    <w:altName w:val="隶书"/>
    <w:panose1 w:val="03000509000000000000"/>
    <w:charset w:val="86"/>
    <w:family w:val="auto"/>
    <w:pitch w:val="default"/>
    <w:sig w:usb0="00000000" w:usb1="00000000" w:usb2="00000000" w:usb3="00000000" w:csb0="00040000" w:csb1="00000000"/>
  </w:font>
  <w:font w:name="方正华隶简体">
    <w:altName w:val="隶书"/>
    <w:panose1 w:val="03000509000000000000"/>
    <w:charset w:val="86"/>
    <w:family w:val="auto"/>
    <w:pitch w:val="default"/>
    <w:sig w:usb0="00000000" w:usb1="00000000" w:usb2="00000000" w:usb3="00000000" w:csb0="00040000" w:csb1="00000000"/>
  </w:font>
  <w:font w:name="方正华隶繁体">
    <w:altName w:val="隶书"/>
    <w:panose1 w:val="03000509000000000000"/>
    <w:charset w:val="86"/>
    <w:family w:val="auto"/>
    <w:pitch w:val="default"/>
    <w:sig w:usb0="00000000" w:usb1="00000000" w:usb2="00000000" w:usb3="00000000" w:csb0="00040000" w:csb1="00000000"/>
  </w:font>
  <w:font w:name="方正大标宋繁体">
    <w:altName w:val="宋体"/>
    <w:panose1 w:val="03000509000000000000"/>
    <w:charset w:val="86"/>
    <w:family w:val="auto"/>
    <w:pitch w:val="default"/>
    <w:sig w:usb0="00000000" w:usb1="00000000" w:usb2="00000000" w:usb3="00000000" w:csb0="00040000" w:csb1="00000000"/>
  </w:font>
  <w:font w:name="方正大黑_GBK">
    <w:altName w:val="黑体"/>
    <w:panose1 w:val="03000509000000000000"/>
    <w:charset w:val="86"/>
    <w:family w:val="auto"/>
    <w:pitch w:val="default"/>
    <w:sig w:usb0="00000000" w:usb1="0000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姚体繁体">
    <w:altName w:val="宋体"/>
    <w:panose1 w:val="03000509000000000000"/>
    <w:charset w:val="86"/>
    <w:family w:val="auto"/>
    <w:pitch w:val="default"/>
    <w:sig w:usb0="00000000" w:usb1="00000000" w:usb2="00000000" w:usb3="00000000" w:csb0="00040000" w:csb1="00000000"/>
  </w:font>
  <w:font w:name="方正宋一_GBK">
    <w:altName w:val="宋体"/>
    <w:panose1 w:val="03000509000000000000"/>
    <w:charset w:val="86"/>
    <w:family w:val="auto"/>
    <w:pitch w:val="default"/>
    <w:sig w:usb0="00000000" w:usb1="00000000" w:usb2="00000000" w:usb3="00000000" w:csb0="00040000" w:csb1="00000000"/>
  </w:font>
  <w:font w:name="方正宋一繁体">
    <w:altName w:val="宋体"/>
    <w:panose1 w:val="03000509000000000000"/>
    <w:charset w:val="86"/>
    <w:family w:val="auto"/>
    <w:pitch w:val="default"/>
    <w:sig w:usb0="00000000" w:usb1="00000000" w:usb2="00000000" w:usb3="00000000" w:csb0="00040000" w:csb1="00000000"/>
  </w:font>
  <w:font w:name="方正宋黑_GBK">
    <w:altName w:val="宋体"/>
    <w:panose1 w:val="03000509000000000000"/>
    <w:charset w:val="86"/>
    <w:family w:val="auto"/>
    <w:pitch w:val="default"/>
    <w:sig w:usb0="00000000" w:usb1="00000000" w:usb2="00000000" w:usb3="00000000" w:csb0="00040000" w:csb1="00000000"/>
  </w:font>
  <w:font w:name="方正宋黑简体">
    <w:altName w:val="宋体"/>
    <w:panose1 w:val="03000509000000000000"/>
    <w:charset w:val="86"/>
    <w:family w:val="auto"/>
    <w:pitch w:val="default"/>
    <w:sig w:usb0="00000000" w:usb1="00000000" w:usb2="00000000" w:usb3="00000000" w:csb0="00040000" w:csb1="00000000"/>
  </w:font>
  <w:font w:name="方正少儿_GBK">
    <w:altName w:val="宋体"/>
    <w:panose1 w:val="03000509000000000000"/>
    <w:charset w:val="86"/>
    <w:family w:val="auto"/>
    <w:pitch w:val="default"/>
    <w:sig w:usb0="00000000" w:usb1="00000000" w:usb2="00000000" w:usb3="00000000" w:csb0="00040000" w:csb1="00000000"/>
  </w:font>
  <w:font w:name="方正少儿繁体">
    <w:altName w:val="宋体"/>
    <w:panose1 w:val="03000509000000000000"/>
    <w:charset w:val="86"/>
    <w:family w:val="auto"/>
    <w:pitch w:val="default"/>
    <w:sig w:usb0="00000000" w:usb1="00000000" w:usb2="00000000" w:usb3="00000000" w:csb0="00040000" w:csb1="00000000"/>
  </w:font>
  <w:font w:name="方正平和简体">
    <w:altName w:val="宋体"/>
    <w:panose1 w:val="03000509000000000000"/>
    <w:charset w:val="86"/>
    <w:family w:val="auto"/>
    <w:pitch w:val="default"/>
    <w:sig w:usb0="00000000" w:usb1="00000000" w:usb2="00000000" w:usb3="00000000" w:csb0="00040000" w:csb1="00000000"/>
  </w:font>
  <w:font w:name="方正康体_GBK">
    <w:altName w:val="宋体"/>
    <w:panose1 w:val="03000509000000000000"/>
    <w:charset w:val="86"/>
    <w:family w:val="auto"/>
    <w:pitch w:val="default"/>
    <w:sig w:usb0="00000000" w:usb1="00000000" w:usb2="00000000" w:usb3="00000000" w:csb0="00040000" w:csb1="00000000"/>
  </w:font>
  <w:font w:name="方正报宋_GBK">
    <w:altName w:val="宋体"/>
    <w:panose1 w:val="03000509000000000000"/>
    <w:charset w:val="86"/>
    <w:family w:val="auto"/>
    <w:pitch w:val="default"/>
    <w:sig w:usb0="00000000" w:usb1="00000000" w:usb2="00000000" w:usb3="00000000" w:csb0="00040000" w:csb1="00000000"/>
  </w:font>
  <w:font w:name="方正报宋繁体">
    <w:altName w:val="宋体"/>
    <w:panose1 w:val="03000509000000000000"/>
    <w:charset w:val="86"/>
    <w:family w:val="auto"/>
    <w:pitch w:val="default"/>
    <w:sig w:usb0="00000000" w:usb1="00000000" w:usb2="00000000" w:usb3="00000000" w:csb0="00040000" w:csb1="00000000"/>
  </w:font>
  <w:font w:name="方正新秀丽繁体">
    <w:altName w:val="宋体"/>
    <w:panose1 w:val="03000509000000000000"/>
    <w:charset w:val="86"/>
    <w:family w:val="auto"/>
    <w:pitch w:val="default"/>
    <w:sig w:usb0="00000000" w:usb1="00000000" w:usb2="00000000" w:usb3="00000000" w:csb0="00040000" w:csb1="00000000"/>
  </w:font>
  <w:font w:name="方正新舒体繁体">
    <w:altName w:val="宋体"/>
    <w:panose1 w:val="03000509000000000000"/>
    <w:charset w:val="86"/>
    <w:family w:val="auto"/>
    <w:pitch w:val="default"/>
    <w:sig w:usb0="00000000" w:usb1="00000000" w:usb2="00000000" w:usb3="00000000" w:csb0="00040000" w:csb1="00000000"/>
  </w:font>
  <w:font w:name="方正楷体_GBK">
    <w:altName w:val="Arial Unicode MS"/>
    <w:panose1 w:val="03000509000000000000"/>
    <w:charset w:val="86"/>
    <w:family w:val="auto"/>
    <w:pitch w:val="default"/>
    <w:sig w:usb0="00000000" w:usb1="00000000" w:usb2="00000000" w:usb3="00000000" w:csb0="00040000" w:csb1="00000000"/>
  </w:font>
  <w:font w:name="方正瘦金书简体">
    <w:altName w:val="宋体"/>
    <w:panose1 w:val="03000509000000000000"/>
    <w:charset w:val="86"/>
    <w:family w:val="auto"/>
    <w:pitch w:val="default"/>
    <w:sig w:usb0="00000000" w:usb1="00000000" w:usb2="00000000" w:usb3="00000000" w:csb0="00040000" w:csb1="00000000"/>
  </w:font>
  <w:font w:name="方正稚艺_GBK">
    <w:altName w:val="宋体"/>
    <w:panose1 w:val="03000509000000000000"/>
    <w:charset w:val="86"/>
    <w:family w:val="auto"/>
    <w:pitch w:val="default"/>
    <w:sig w:usb0="00000000" w:usb1="00000000" w:usb2="00000000" w:usb3="00000000" w:csb0="00040000" w:csb1="00000000"/>
  </w:font>
  <w:font w:name="方正稚艺简体">
    <w:altName w:val="宋体"/>
    <w:panose1 w:val="03000509000000000000"/>
    <w:charset w:val="86"/>
    <w:family w:val="auto"/>
    <w:pitch w:val="default"/>
    <w:sig w:usb0="00000000" w:usb1="00000000" w:usb2="00000000" w:usb3="00000000" w:csb0="00040000" w:csb1="00000000"/>
  </w:font>
  <w:font w:name="方正稚艺繁体">
    <w:altName w:val="宋体"/>
    <w:panose1 w:val="03000509000000000000"/>
    <w:charset w:val="86"/>
    <w:family w:val="auto"/>
    <w:pitch w:val="default"/>
    <w:sig w:usb0="00000000" w:usb1="00000000" w:usb2="00000000" w:usb3="00000000" w:csb0="00040000" w:csb1="00000000"/>
  </w:font>
  <w:font w:name="方正粗倩_GBK">
    <w:altName w:val="宋体"/>
    <w:panose1 w:val="03000509000000000000"/>
    <w:charset w:val="86"/>
    <w:family w:val="auto"/>
    <w:pitch w:val="default"/>
    <w:sig w:usb0="00000000" w:usb1="00000000" w:usb2="00000000" w:usb3="00000000" w:csb0="00040000" w:csb1="00000000"/>
  </w:font>
  <w:font w:name="方正粗圆_GBK">
    <w:altName w:val="宋体"/>
    <w:panose1 w:val="03000509000000000000"/>
    <w:charset w:val="86"/>
    <w:family w:val="auto"/>
    <w:pitch w:val="default"/>
    <w:sig w:usb0="00000000" w:usb1="00000000" w:usb2="00000000" w:usb3="00000000" w:csb0="00040000" w:csb1="00000000"/>
  </w:font>
  <w:font w:name="方正粗圆简体">
    <w:altName w:val="宋体"/>
    <w:panose1 w:val="03000509000000000000"/>
    <w:charset w:val="86"/>
    <w:family w:val="auto"/>
    <w:pitch w:val="default"/>
    <w:sig w:usb0="00000000" w:usb1="00000000" w:usb2="00000000" w:usb3="00000000" w:csb0="00040000" w:csb1="00000000"/>
  </w:font>
  <w:font w:name="方正细等线_GBK">
    <w:altName w:val="宋体"/>
    <w:panose1 w:val="03000509000000000000"/>
    <w:charset w:val="86"/>
    <w:family w:val="auto"/>
    <w:pitch w:val="default"/>
    <w:sig w:usb0="00000000" w:usb1="00000000" w:usb2="00000000" w:usb3="00000000" w:csb0="00040000" w:csb1="00000000"/>
  </w:font>
  <w:font w:name="方正细等线简体">
    <w:altName w:val="宋体"/>
    <w:panose1 w:val="03000509000000000000"/>
    <w:charset w:val="86"/>
    <w:family w:val="auto"/>
    <w:pitch w:val="default"/>
    <w:sig w:usb0="00000000" w:usb1="00000000" w:usb2="00000000" w:usb3="00000000" w:csb0="00040000" w:csb1="00000000"/>
  </w:font>
  <w:font w:name="方正细黑一_GBK">
    <w:altName w:val="黑体"/>
    <w:panose1 w:val="03000509000000000000"/>
    <w:charset w:val="86"/>
    <w:family w:val="auto"/>
    <w:pitch w:val="default"/>
    <w:sig w:usb0="00000000" w:usb1="00000000" w:usb2="00000000" w:usb3="00000000" w:csb0="00040000" w:csb1="00000000"/>
  </w:font>
  <w:font w:name="方正细黑一简体">
    <w:altName w:val="黑体"/>
    <w:panose1 w:val="03000509000000000000"/>
    <w:charset w:val="86"/>
    <w:family w:val="auto"/>
    <w:pitch w:val="default"/>
    <w:sig w:usb0="00000000" w:usb1="00000000" w:usb2="00000000" w:usb3="00000000" w:csb0="00040000" w:csb1="00000000"/>
  </w:font>
  <w:font w:name="方正综艺_GBK">
    <w:altName w:val="宋体"/>
    <w:panose1 w:val="03000509000000000000"/>
    <w:charset w:val="86"/>
    <w:family w:val="auto"/>
    <w:pitch w:val="default"/>
    <w:sig w:usb0="00000000" w:usb1="00000000" w:usb2="00000000" w:usb3="00000000" w:csb0="00040000" w:csb1="00000000"/>
  </w:font>
  <w:font w:name="方正综艺繁体">
    <w:altName w:val="宋体"/>
    <w:panose1 w:val="03000509000000000000"/>
    <w:charset w:val="86"/>
    <w:family w:val="auto"/>
    <w:pitch w:val="default"/>
    <w:sig w:usb0="00000000" w:usb1="00000000" w:usb2="00000000" w:usb3="00000000" w:csb0="00040000" w:csb1="00000000"/>
  </w:font>
  <w:font w:name="方正舒体_GBK">
    <w:altName w:val="宋体"/>
    <w:panose1 w:val="03000509000000000000"/>
    <w:charset w:val="86"/>
    <w:family w:val="auto"/>
    <w:pitch w:val="default"/>
    <w:sig w:usb0="00000000" w:usb1="00000000" w:usb2="00000000" w:usb3="00000000" w:csb0="00040000" w:csb1="00000000"/>
  </w:font>
  <w:font w:name="方正舒体繁体">
    <w:altName w:val="宋体"/>
    <w:panose1 w:val="03000509000000000000"/>
    <w:charset w:val="86"/>
    <w:family w:val="auto"/>
    <w:pitch w:val="default"/>
    <w:sig w:usb0="00000000" w:usb1="00000000" w:usb2="00000000" w:usb3="00000000" w:csb0="00040000" w:csb1="00000000"/>
  </w:font>
  <w:font w:name="方正行楷繁体">
    <w:altName w:val="楷体_GB2312"/>
    <w:panose1 w:val="03000509000000000000"/>
    <w:charset w:val="86"/>
    <w:family w:val="auto"/>
    <w:pitch w:val="default"/>
    <w:sig w:usb0="00000000" w:usb1="00000000" w:usb2="00000000" w:usb3="00000000" w:csb0="00040000" w:csb1="00000000"/>
  </w:font>
  <w:font w:name="方正超粗黑_GBK">
    <w:altName w:val="黑体"/>
    <w:panose1 w:val="03000509000000000000"/>
    <w:charset w:val="86"/>
    <w:family w:val="auto"/>
    <w:pitch w:val="default"/>
    <w:sig w:usb0="00000000" w:usb1="00000000" w:usb2="00000000" w:usb3="00000000" w:csb0="00040000" w:csb1="00000000"/>
  </w:font>
  <w:font w:name="方正超粗黑繁体">
    <w:altName w:val="黑体"/>
    <w:panose1 w:val="03000509000000000000"/>
    <w:charset w:val="86"/>
    <w:family w:val="auto"/>
    <w:pitch w:val="default"/>
    <w:sig w:usb0="00000000" w:usb1="00000000" w:usb2="00000000" w:usb3="00000000" w:csb0="00040000" w:csb1="00000000"/>
  </w:font>
  <w:font w:name="方正隶书简体">
    <w:altName w:val="隶书"/>
    <w:panose1 w:val="03000509000000000000"/>
    <w:charset w:val="86"/>
    <w:family w:val="auto"/>
    <w:pitch w:val="default"/>
    <w:sig w:usb0="00000000" w:usb1="00000000" w:usb2="00000000" w:usb3="00000000" w:csb0="00040000" w:csb1="00000000"/>
  </w:font>
  <w:font w:name="方正隶二简体">
    <w:altName w:val="隶书"/>
    <w:panose1 w:val="03000509000000000000"/>
    <w:charset w:val="86"/>
    <w:family w:val="auto"/>
    <w:pitch w:val="default"/>
    <w:sig w:usb0="00000000" w:usb1="00000000" w:usb2="00000000" w:usb3="00000000" w:csb0="00040000" w:csb1="00000000"/>
  </w:font>
  <w:font w:name="方正隶变_GBK">
    <w:altName w:val="隶书"/>
    <w:panose1 w:val="03000509000000000000"/>
    <w:charset w:val="86"/>
    <w:family w:val="auto"/>
    <w:pitch w:val="default"/>
    <w:sig w:usb0="00000000" w:usb1="00000000" w:usb2="00000000" w:usb3="00000000" w:csb0="00040000" w:csb1="00000000"/>
  </w:font>
  <w:font w:name="方正隶变简体">
    <w:altName w:val="隶书"/>
    <w:panose1 w:val="03000509000000000000"/>
    <w:charset w:val="86"/>
    <w:family w:val="auto"/>
    <w:pitch w:val="default"/>
    <w:sig w:usb0="00000000" w:usb1="00000000" w:usb2="00000000" w:usb3="00000000" w:csb0="00040000" w:csb1="00000000"/>
  </w:font>
  <w:font w:name="方正魏碑简体">
    <w:altName w:val="Arial Unicode MS"/>
    <w:panose1 w:val="03000509000000000000"/>
    <w:charset w:val="86"/>
    <w:family w:val="auto"/>
    <w:pitch w:val="default"/>
    <w:sig w:usb0="00000000" w:usb1="00000000" w:usb2="00000000" w:usb3="00000000" w:csb0="00040000" w:csb1="00000000"/>
  </w:font>
  <w:font w:name="方正魏碑繁体">
    <w:altName w:val="宋体"/>
    <w:panose1 w:val="03000509000000000000"/>
    <w:charset w:val="86"/>
    <w:family w:val="auto"/>
    <w:pitch w:val="default"/>
    <w:sig w:usb0="00000000" w:usb1="00000000" w:usb2="00000000" w:usb3="00000000" w:csb0="00040000" w:csb1="00000000"/>
  </w:font>
  <w:font w:name="方正黑体繁体">
    <w:altName w:val="黑体"/>
    <w:panose1 w:val="03000509000000000000"/>
    <w:charset w:val="86"/>
    <w:family w:val="auto"/>
    <w:pitch w:val="default"/>
    <w:sig w:usb0="00000000" w:usb1="00000000" w:usb2="00000000" w:usb3="00000000" w:csb0="00040000" w:csb1="00000000"/>
  </w:font>
  <w:font w:name="方正新舒体_GBK">
    <w:altName w:val="宋体"/>
    <w:panose1 w:val="03000509000000000000"/>
    <w:charset w:val="86"/>
    <w:family w:val="auto"/>
    <w:pitch w:val="default"/>
    <w:sig w:usb0="00000000" w:usb1="00000000" w:usb2="00000000" w:usb3="00000000" w:csb0="00040000" w:csb1="00000000"/>
  </w:font>
  <w:font w:name="方正隶变繁体">
    <w:altName w:val="隶书"/>
    <w:panose1 w:val="03000509000000000000"/>
    <w:charset w:val="86"/>
    <w:family w:val="auto"/>
    <w:pitch w:val="default"/>
    <w:sig w:usb0="00000000" w:usb1="00000000" w:usb2="00000000" w:usb3="00000000" w:csb0="00040000" w:csb1="00000000"/>
  </w:font>
  <w:font w:name="方正黄草简体">
    <w:altName w:val="宋体"/>
    <w:panose1 w:val="03000509000000000000"/>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方正书宋简体">
    <w:altName w:val="宋体"/>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仿宋简体">
    <w:altName w:val="Arial Unicode MS"/>
    <w:panose1 w:val="03000509000000000000"/>
    <w:charset w:val="86"/>
    <w:family w:val="auto"/>
    <w:pitch w:val="default"/>
    <w:sig w:usb0="00000000" w:usb1="00000000" w:usb2="00000000" w:usb3="00000000" w:csb0="00040000" w:csb1="00000000"/>
  </w:font>
  <w:font w:name="Calibri Light">
    <w:altName w:val="Times New Roman"/>
    <w:panose1 w:val="00000000000000000000"/>
    <w:charset w:val="00"/>
    <w:family w:val="roman"/>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052A9A"/>
    <w:multiLevelType w:val="multilevel"/>
    <w:tmpl w:val="78052A9A"/>
    <w:lvl w:ilvl="0" w:tentative="0">
      <w:start w:val="1"/>
      <w:numFmt w:val="japaneseCounting"/>
      <w:lvlText w:val="第%1章"/>
      <w:lvlJc w:val="left"/>
      <w:pPr>
        <w:ind w:left="1080" w:hanging="108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8B24F8"/>
    <w:rsid w:val="04A376CC"/>
    <w:rsid w:val="19A41B0A"/>
    <w:rsid w:val="20677EA0"/>
    <w:rsid w:val="24F049DB"/>
    <w:rsid w:val="288229C9"/>
    <w:rsid w:val="2DDA36FC"/>
    <w:rsid w:val="32A96174"/>
    <w:rsid w:val="32BC048A"/>
    <w:rsid w:val="49E26687"/>
    <w:rsid w:val="50E06638"/>
    <w:rsid w:val="5BBD32A2"/>
    <w:rsid w:val="5E891582"/>
    <w:rsid w:val="669A54D2"/>
    <w:rsid w:val="6BF46E7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kern w:val="2"/>
      <w:sz w:val="32"/>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rain</cp:lastModifiedBy>
  <dcterms:modified xsi:type="dcterms:W3CDTF">2017-12-07T00:22:47Z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