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平顶山市城市绿化条例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ajorEastAsia" w:hAnsiTheme="majorEastAsia" w:eastAsiaTheme="majorEastAsia" w:cstheme="maj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（2018年8月30日平顶山市第十届人民代表大会常务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委员会第四十次会议通过  2018年9月29日河南省第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十三届人民代表大会常务委员会第六次会议批准）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为了促进城市绿化事业的发展，保护和改善城市生态环境，建设绿色宜居城市，根据《中华人民共和国城乡规划法》、国务院《城市绿化条例》等有关法律、法规，结合本市实际，制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本条例适用于本市市区城市规划区和县（市）、石龙区人民政府所在地规划区内城市绿化的规划、建设、保护和管理。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市、县（市、区）人民政府应当加强对城市绿化工作的领导，将城市绿化建设纳入国民经济和社会发展规划，制定城市绿化发展目标及年度计划，保障城市绿化所需用地和资金以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及城市绿化养护管理经费。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市城市绿化行政主管部门负责本市行政区域内的城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市绿化工作，并对全市城市绿化工作进行检查、监督和指导。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各县（市）、石龙区城市绿化行政主管部门按照属地管理原则负责本辖区内的绿化工作。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新华区、卫东区、湛河区城市绿化主管部门和城乡一体化示范区管委会、高新区管委会依据授权或者委托负责本辖区内的城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乡镇人民政府、街道办事处按照有关规定负责本辖区内的绿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有关行政主管部门应当按照各自职责，共同做好城市绿化相关工作。法律、法规规定由林业、交通等行政主管部门管理的绿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化工作，依照有关法律、法规执行。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城市绿化应当坚持生态优先、科学规划、全民参与、共建共享的原则，发挥城市绿地的生态保护、园林景观、休闲游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憩、文化传承、科普教育、防灾避险等功能。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城市绿化行政主管部门应当加强城市绿化的科学研究，推广使用绿化建设和养护先进技术，建设海绵型、节约型、园林艺术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型城市绿地。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政府及有关部门、新闻媒体应当加强绿化法律、法规、绿化科学知识和建设生态宜居城市的宣传，鼓励、支持、引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导社会组织和城市居民参与城市绿化建设和养护工作。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任何单位和个人都有依法保护城市绿化及设施的义务，对破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坏城市绿化及设施的行为，有权进行劝阻、投诉和举报。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对在城市绿化工作中成绩显著的单位和个人，市、县（市、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区）人民政府应当给予表彰和奖励。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市、县（市）、石龙区城乡规划行政主管部门应当会同同级城市绿化行政主管部门，依据城市总体规划共同组织编制城市绿地系统规划，报同级人民政府批准后实施，并报同级人民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任何单位和个人都不得擅自改变城市绿地系统规划。确需改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变的，应当按照原批准程序重新审批和备案。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编制城市绿地系统规划应当从实际出发，根据本地特点，科学确定城市绿化目标和布局，规定各类绿地的保护原则，按照国家和本条例规定的城市绿化规划指标确定绿化用地指标，并利用原有地形、地貌、水体、植被和历史文化遗址等自然、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文条件，合理配置各类城市绿地。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市、县（市）、石龙区城乡规划行政主管部门应当会同同级城市绿化行政主管部门，根据城市绿地系统规划、控制性详细规划和城市绿化的现状，确定各类绿地界线坐标，划定城市绿线。对已划定的城市绿线，应当向社会公布，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因重大市政基础设施建设等公共利益的需要，确需变更或者调整城市绿线的，城乡规划行政主管部门应当征求城市绿化行政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主管部门的意见，并按照法定程序审批。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因调整城市绿线减少绿化规划用地的，应当在控制性详细规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划内就近落实补足相同等级、面积的绿化规划用地。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城市规划和建设应当按照规定预留绿化用地。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新建区的绿地面积应当占总用地面积的百分之三十五以上；改建旧城区的绿地面积应当占总用地面积的百分之二十五以上。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新建区每十平方公里应当规划预留至少一处占地面积十万平方米以上的综合性公园绿地用地，每一平方公里应当规划预留至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少一处占地面积五千平方米以上的公园绿地用地。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城市国有土地上的道路防护绿地和居住区以外的公园绿地所需建设用地，经县级以上人民政府依法批准，可以采取划拨方式供应。对符合条件的不动产登记申请，不动产登记机构应当依法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向申请人办理不动产登记。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新建建设工程项目应当规划配套附属绿化用地，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其绿地率应当达到下列标准：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（一）居住区（含居住小区、居住组团）绿地率不低于百分之三十五，其中集中绿地面积应当不低于建设工程项目用地总面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积的百分之十；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（二）工业企业、交通枢纽、仓储等绿地率不低于百分之二十，宾馆、饭店、大中型商业设施、体育馆和市政公用设施的绿地率不低于百分之三十；其他单位附属绿地率不低于百分之三十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（三）园林景观路绿地率不低于百分之四十，红线宽度大于五十米的道路绿地率不低于百分之三十，红线宽度在四十米至五十米的道路绿地率不低于百分之二十五，红线宽度小于四十米的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道路绿地率不低于百分之二十；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（四）其他建设项目的绿地率标准按照国家有关规定执行。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本条第一款第一项至第三项规定属于旧城区改造的，其绿地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率可以降低五个百分点。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建设工程项目兼具商住等多种功能的，以其建筑面积占总建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筑面积比例最大部分的使用性质确定绿地率标准。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旧城区改造建设工程项目因客观条件限制未能达到本条例第十一条规定标准的，由城乡规划行政主管部门征求城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市绿化行政主管部门意见后，依法审核。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建设单位在建设工程规划许可证核发前，应当按照所缺的绿地面积易地绿化建设；不能易地绿化建设的，按照所缺的绿地面积缴纳绿地补偿金。绿地补偿金应当上缴同级财政，用于易地绿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化建设。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lang w:val="en-US" w:eastAsia="zh-CN"/>
        </w:rPr>
        <w:t>绿地建设责任按照下列规定确定：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（一）居住区以外的公园绿地、广场绿地、道路绿地，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由城市绿化行政主管部门负责；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（二）防护绿地、生产绿地，由城市绿化行政主管部门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或者有关单位负责；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（三）附属绿地（道路绿地除外）、居住区内的绿地，由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开发建设管理单位负责；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（四）铁路、公路、河渠、湖泊管理范围内的绿地，由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有关主管部门（单位）负责；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（五）架空电力线路走廊用地范围内的绿地，由建设用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地使用权人负责。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前款规定以外的绿地，建设责任不明确的，由县级以上人民政府根据实际情况，按照有利于建设、方便养护管理的原则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城市绿化建设应当选用适应本地自然条件的植物种类，注重市树、市花及优质乡土树木的种植，科学合理配置乔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木、灌木、地被植物和花卉，保护城市植物的多样性。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建设工程项目应当将附属绿化工程费用纳入投资预算。附属绿化工程应当与主体工程同步规划、同步设计。附属绿化工程完成的时间不得迟于建设工程项目主体工程竣工后六个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建设单位向城乡规划行政主管部门报送建设工程设计方案时，应当同时报送建设工程项目附属绿化工程设计方案。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建设单位应当按照建设工程规划许可证的规定和建设工程项目附属绿化工程设计方案进行施工。建设工程项目附属绿化工程设计方案确需改变的，应当经原许可机关批准，并不得减少绿化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建设工程项目附属绿化工程设计方案，按照基本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建设程序审批时，应当有城市绿化行政主管部门参加审查。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城市绿化行政主管部门应当加强对附属绿化工程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建设情况的监督检查，并给予技术指导。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建设工程项目竣工验收后三十日内，建设单位应当将附属绿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化工程的竣工资料报城市绿化行政主管部门备案。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新建居住区内绿地的面积和位置应当在房屋买卖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合同中予以明示。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居住区建设单位应当在已建成的居住区内设置绿地平面图公示牌，标明居住区绿地率、绿地面积、建设单位以及监督电话等，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并在居住区的显著位置进行公示。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在城市规划区内，凡应当绿化而没有绿化的裸露空地，由所在地县（市、区）人民政府明确责任，限期绿化。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鼓励单位和个人以投资、捐资、认建、认养、劳务等形式参与城市绿化建设和养护。参与城市绿化建设和养护的单位和个人，不得损害产权人利益或者改变绿地使用性质和规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鼓励适宜实施屋顶绿化、垂直绿化的居民住宅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楼顶进行立体绿化。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机关、事业单位和文化、教育、体育等公共建筑，符合建筑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规范适宜屋顶绿化的，应当实施屋顶绿化。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城市道路护栏、临街围栏、桥梁涵洞、建筑墙体等市政公用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设施适宜垂直绿化的，应当实施垂直绿化。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室外停车场具备条件的，应当配植庇荫乔木，铺设植草地坪，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建设绿荫停车场。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城市主要道路两侧沿线单位，除有特殊安全需要外，应当实</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施开放式绿化。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新建、改建、扩建城市道路应当按照技术规范种植行道树，同一道路行道树应当有统一的景观风格。行道树种植，应当符合行车视线、行车净空、道路照明和行人通行等要求。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建设应当与地上地下各种管线等市政公用设施保持规定的安全距离。管线建设与绿化建设发生冲突时，新建管线和新种树木应当服从规划，按照后建让先种、后种让先建的原则解决。城乡规划行政主管部门在核定建设工程项目用地位置和界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时，应当兼顾管线安全和树木生长需要。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城市绿化的保护和管理按照下列规定分工负责：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（一）政府投资或者政府投资占主导地位的城市绿地，由城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市绿化行政主管部门或者其委托的单位负责；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（二）铁路、公路、河渠、湖泊用地范围内的绿地，由有关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主管部门（单位）负责；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（三）单位附属绿地，由本单位负责；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（四）居住区内绿地，已实行物业管理的，由业主或者其委托的物业服务企业负责；未实行物业管理的，由其所在地街道办</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事处或者乡（镇）人民政府协调确定；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（五）建设工程范围内保留的树木，在建设期间由建设单位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（六）古树名木以及古树后续资源，由城市绿化行政主管部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门按照实际情况分株制定复壮管护方案，落实管护责任人。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前款规定以外的绿地，以及管护责任不清或者有争议的，由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城市绿化行政主管部门确定责任人。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城市绿地养护管理单位应当按照责任划分和管理标准完善管理制度，对城市绿地进行养护管理，保持树木生长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旺盛、花草整齐繁茂、绿化设施完好。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城市绿化行政主管部门负责监督检查，并给予技术指导。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任何单位和个人不得擅自改变城市绿化规划用地性质或者破坏绿化规划用地的地形、地貌、水体和植被。因城市规划调整或者城市基础设施建设等公共利益需要，确需改变规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划的，应当先修改规划，并按原规划审批程序报批。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任何单位和个人不得在城市绿地范围内擅自增设建筑物、构筑物和其他设施。确需增设的，应当符合城市规划和有关设计规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范要求，按有关规定办理相关手续。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任何单位和个人不得擅自占用城市绿地。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因国家重点建设项目或者城市基础设施等公共利益需要临时占用城市绿地一千平方米以下的，由市、县（市）、石龙区城市绿化行政主管部门审批；一千平方米以上的，按照有关规定报批。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临时占用时间不得超过一年。临时占用单位或者个人应当在占用期限届满前恢复绿地原状，造成损失的，应当承担赔偿责任。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占用单位或者个人应当在其所占用绿地明显位置设置公示牌，标明占用单位、占用面积、占用期限、批准单位及监督电话等信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对申请人提出的临时占用城市绿地申请，城市绿化行政主管部门应当依法及时处理。准予占用的，申请人应当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签订绿地恢复承诺书。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因抢险救灾和处理突发事件确需临时占用绿地的，可以先行占用，抢险救灾和处理突发事件后占用人应当及时恢复原状。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城市公园绿地内严格控制商业、服务摊点。设置商业、服务摊点时应当在城市绿化行政主管部门指定的地点从事经营活动，并遵守城市公园绿地和市场监督管理部门的规定。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在城市公园绿地内举办的各类活动，应当经城市绿化行政主管部门批准，并不得损坏公园景观和园林设施。活动结束后，活动主办单位或者个人应当及时清理现场，恢复原貌，并承担由此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产生的费用。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经依法批准设置的户外广告不得影响绿化植物正常生长，不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得遮挡城市绿化景观。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管护责任人应当按照树木正常生长的规律，定期、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对养护管理的树木组织修剪。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有下列情形之一的，管护责任人应当及时组织修剪树木、消除影响；管护责任人未及时修剪的，城市绿化行政主管部门应当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督促其修剪：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（一）因树木生长影响管线、交通安全；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（二）因树木生长影响居民采光、通风和居住安全。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任何单位和个人不得擅自修剪树木；造成损失的，应当依法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任何单位和个人不得擅自移植、砍伐城市树木。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确需移植或者砍伐树木的，应当向城市绿化行政主管部门提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出书面申请并经审批。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移植、砍伐城市树木，施工单位应当在施工现场设立公示牌，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公示行政审批内容，接受公众监督。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经批准砍伐城市树木的，申请人应当按照伐一补三的原则补植同种类的树木，补植的树木胸径不得小于十厘米。因条件限制无法补植或者补植达不到规定标准的，由城市绿化行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政主管部门组织补植或者委托补植，相关费用由申请人承担。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经批准移植城市树木的，移植者应当保证其成活,移植后一年内未成活的，应当按照前款规定予以补植。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因交通、生产等事故损坏花草树木和绿化设施的，应当恢复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原状或者依法赔偿损失。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电力、通讯、照明、有线电视、交通等单位因架设线路或者线路安全需要修剪树木的，应当经树木管护责任人同意，并在城市绿化专业单位指导下修剪，或者支付费用，由城市绿化专业单位修剪。因建设工程施工确需修剪城市树木的，应当经树木管护责任人同意后，由城市绿化专业单位修剪，修剪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有下列情形之一，确需扶正或者砍伐城市树木的，有关单位和个人可以先行处理，但应当在事后三个工作日内向城市绿化行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政主管部门报告；砍伐树木的，按照规定补办相关手续：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（一）因不可抗力造成树木倾斜危及管线、交通设施、建筑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物、构筑物安全；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（二）因抢险救灾、突发事件处置等紧急情况；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（一）在公园绿地内采摘植物花果枝叶、剥损树皮、折采种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条等损害绿化的；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（二）利用树木作为支撑物或者固定物、在树木上悬挂广告牌、钉钉、结绳晾晒、架设电线、包裹树木等损害城市树木的；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（三）在树旁和绿地内倾倒垃圾、污水，堆放杂物，种植其他作物或者取土的；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（四）在公园绿地内擅自驶入或者停放非作业机动车辆的；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（五）污染、损坏建筑小品及游艺、休息、浇灌、照明等设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（六）损毁绿篱、花坛、草坪的；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（七）在绿地内擅自设置户外广告、搭建构筑物的；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（八）在公园绿地（居住区内的公园绿地除外）内擅自设置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经营性设施和项目的；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（九）其他损害城市绿化及其设施的行为。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对城市古树名木和古树后续资源实行统一管理，分别养护。市、县（市）、石龙区城市绿化行政主管部门，应当建立古树名木和古树后续资源档案，设置标牌，制定复壮保护措施，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划定保护范围，加强管护和社会宣传。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在单位管界内或者私人庭院内的古树名木和古树后续资源，由该单位或者居民负责管护，城市绿化行政主管部门负责监督和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技术指导，县级以上人民政府应当给予补助。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禁止下列损害古树名木和古树后续资源的行为：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（一）砍伐、擅自迁移古树名木和古树后续资源；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（二）损坏古树名木和古树后续资源的支撑、围栏、避雷针、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标牌或者排水沟等相关保护设施；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（三）在距树干三米范围内硬化地面；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（四）在树冠外五米范围内新建、改建、扩建建筑物、构筑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物，建设道路，铺设管线，挖坑、取土、倾倒污水污物；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（五）其他损害古树名木和古树后续资源正常生长的行为。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城市绿化行政主管部门应建立健全有害植物疫情预警预报防控体系，定期向社会发布植物疫情监测预报，制定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绿化防灾应急预案。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建设单位和个人在进行绿化时不得采用带有检疫性有害生物或者危险性有害生物的植物。对绿化植物进行有害生物防治，应当遵守有关法律、法规的规定，禁止使用明令禁止的农药，推广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无公害防治措施，防止环境污染，保障生态安全。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城市绿化行政主管部门在城市树木发生病虫害时，应当及时督促、组织城市绿地管护责任人除治；在园林绿化、树木种植、养护、病虫害防治等方面，向社会或者管护责任人提供技术支持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和咨询服务。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城市绿化行政主管部门根据城市发展需要，建立城市绿化管理信息系统和信用管理工作机制，依法向社会公布城市绿化规划、建设、养护、管理以及城乡规划、水利等有关部门提供的城市绿化工作相关信息；并将城市绿地建设工程的建设、施工等单位和城市绿地管护责任人以及其他相关单位、个人，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城市绿化活动中的信用状况纳入公共信用信息服务平台管理。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本条例所规定的行政处罚，由城市绿化行政主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管部门实施。法律、法规另有规定的，从其规定。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违反本条例规定，造成损失的，依法承担赔偿责任；构成犯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违反本条例规定，有下列行为之一的，按照下列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（一）违反第十一条规定，未按照批准的绿地率建设附属绿地的，责令限期改正；逾期不改正的，按照所缺绿地面积，处以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每平方米五千元以上三万元以下罚款；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（二）违反第十五条规定，未按时完成绿化任务的，责令限期完成；逾期未完成的，按照未完成的绿地面积，处以每日每平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方米十元以上三十元以下罚款；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（三）违反第十八条第二款规定，建设单位未及时备案的，责令限期改正；逾期不改正的，处以一千元以上五千元以下罚款。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违反本条例第十九条第二款、第二十七条第四款、第三十一条第三款规定，未按照规定进行公示的，责令限期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违反本条例第二十五条规定，绿地养护管理单位因未履行养护责任或者养护不当造成绿地严重损害的，责令限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期改正或者采取其他补救措施。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违反本条例规定，有下列行为之一的，按照下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（一）违反第二十六条第一款规定，擅自改变城市绿化规划用地性质或者破坏城市绿化规划用地地形、地貌、水体和植被的，责令限期恢复原状；逾期不恢复的，处以每平方米一千元以上五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（二）违反第二十七条第一款规定，擅自占用城市绿地的，责令限期退还、恢复原状；逾期不改正的，处以每平方米一千元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以上五千元以下罚款；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（三）违反第二十七条第三款规定，临时占用城市绿地期满后未按照规定期限恢复绿地原状，从逾期之日起，处以每日每平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（四）违反第二十九条第一款规定，对不服从公园绿地管理单位管理的商业、服务摊点，给予警告，可以并处一百元以上五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（五）违反第二十九条第二款、第三款规定之一的，责令限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期改正；拒不改正的，处以一千元以上五千元以下罚款；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（六）违反第三十一条规定，擅自移植、砍伐城市树木的，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处以每株二千元以上二万元以下罚款。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违反本条例第三十四条规定，有下列行为之一的，责令停止侵害，并按照下列规定予以处罚；造成损失的，依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（一）违反第一项至第五项规定之一的，责令改正；逾期不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改正的，处以一百元以上一千元以下罚款；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（二）违反第六项规定的，责令限期恢复原状；逾期不恢复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的，处以每平方米五百元以上一千元以下罚款；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（三）违反第七项规定的，责令限期拆除；逾期不拆除的，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处以每处五千元以上一万元以下罚款；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（四）违反第八项规定的，责令限期迁出或者拆除；逾期不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改正的，处以一千元以上五千元以下罚款。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违反本条例第三十六条规定，有下列行为之一的，按照下列规定予以处罚；造成损失的，依法承担赔偿责任：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（一）违反第一项规定，砍伐、擅自迁移古树名木的，处以每株十万元以上五十万元以下罚款；砍伐、擅自迁移古树后续资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源的，处以每株一万元以上十万元以下罚款；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（二）违反第二项规定，损坏古树名木标牌的，处以五十元以上二百元以下罚款；损坏古树名木保护设施的，处以一千元以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（三）违反第三项至第五项规定之一的，责令限期改正或者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拆除；逾期不改正的，处以二千元以上一万元以下罚款。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城市绿化行政主管部门和其他相关行政主管部门及其工作人员玩忽职守、滥用职权、徇私舞弊的，依法给予处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第四十七条  </w:t>
      </w:r>
      <w:r>
        <w:rPr>
          <w:rFonts w:hint="eastAsia" w:ascii="仿宋_GB2312" w:hAnsi="仿宋_GB2312" w:eastAsia="仿宋_GB2312" w:cs="仿宋_GB2312"/>
          <w:sz w:val="32"/>
          <w:szCs w:val="32"/>
          <w:lang w:val="en-US" w:eastAsia="zh-CN"/>
        </w:rPr>
        <w:t>依照本条例规定按面积处以罚款的，不足一平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方米的按照一平方米计算。</w:t>
      </w:r>
    </w:p>
    <w:p>
      <w:r>
        <w:rPr>
          <w:rFonts w:hint="eastAsia" w:ascii="黑体" w:hAnsi="黑体" w:eastAsia="黑体" w:cs="黑体"/>
          <w:sz w:val="32"/>
          <w:szCs w:val="32"/>
          <w:lang w:val="en-US" w:eastAsia="zh-CN"/>
        </w:rPr>
        <w:t xml:space="preserve">    第四十八条  </w:t>
      </w:r>
      <w:r>
        <w:rPr>
          <w:rFonts w:hint="eastAsia" w:ascii="仿宋_GB2312" w:hAnsi="仿宋_GB2312" w:eastAsia="仿宋_GB2312" w:cs="仿宋_GB2312"/>
          <w:sz w:val="32"/>
          <w:szCs w:val="32"/>
          <w:lang w:val="en-US" w:eastAsia="zh-CN"/>
        </w:rPr>
        <w:t>本条</w:t>
      </w:r>
      <w:bookmarkStart w:id="0" w:name="_GoBack"/>
      <w:bookmarkEnd w:id="0"/>
      <w:r>
        <w:rPr>
          <w:rFonts w:hint="eastAsia" w:ascii="仿宋_GB2312" w:hAnsi="仿宋_GB2312" w:eastAsia="仿宋_GB2312" w:cs="仿宋_GB2312"/>
          <w:sz w:val="32"/>
          <w:szCs w:val="32"/>
          <w:lang w:val="en-US" w:eastAsia="zh-CN"/>
        </w:rPr>
        <w:t>例自2019年1月1日起施行。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669A54D2"/>
    <w:rsid w:val="70A55E3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2018-12-28T13:58:23Z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