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河南省人民代表大会常务委员会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关于河南省资源税适用税率等事项的决定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（2020年7月31日河南省第十三届人民代表大会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常务委员会第十九次会议通过）</w:t>
      </w:r>
    </w:p>
    <w:p>
      <w:pPr>
        <w:snapToGrid w:val="0"/>
        <w:spacing w:line="560" w:lineRule="exact"/>
        <w:jc w:val="center"/>
        <w:rPr>
          <w:rFonts w:hint="eastAsia" w:ascii="仿宋_GB2312" w:hAnsi="仿宋_GB2312" w:eastAsia="仿宋_GB2312" w:cs="仿宋_GB2312"/>
          <w:sz w:val="30"/>
          <w:szCs w:val="30"/>
        </w:rPr>
      </w:pP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河南省第十三届人民代表大会常务委员会第十九次会议听取了省人民政府《关于河南省资源税适用税率等事项方案（草案）的说明》，审议了《河南省人民政府关于提请审议河南省资源税适用税率等事项方案（草案）的议案》。会议同意河南省人民代表大会财政经济委员会的审议意见。</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为更好地运用税收手段促进资源节约集约利用、加强生态环境保护，统筹考虑我省矿产资源情况和资源税征收等情况，根据《中华人民共和国资源</w:t>
      </w:r>
      <w:r>
        <w:rPr>
          <w:rFonts w:ascii="仿宋_GB2312" w:hAnsi="仿宋_GB2312" w:eastAsia="仿宋_GB2312" w:cs="仿宋"/>
          <w:color w:val="000000"/>
          <w:sz w:val="32"/>
          <w:szCs w:val="32"/>
        </w:rPr>
        <w:t>税法</w:t>
      </w:r>
      <w:r>
        <w:rPr>
          <w:rFonts w:hint="eastAsia" w:ascii="仿宋_GB2312" w:hAnsi="仿宋_GB2312" w:eastAsia="仿宋_GB2312" w:cs="仿宋"/>
          <w:color w:val="000000"/>
          <w:sz w:val="32"/>
          <w:szCs w:val="32"/>
        </w:rPr>
        <w:t>》第二条、第三条、第七条的规定，作出如下决定：</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一、</w:t>
      </w:r>
      <w:r>
        <w:rPr>
          <w:rFonts w:hint="eastAsia" w:ascii="仿宋_GB2312" w:hAnsi="仿宋_GB2312" w:eastAsia="仿宋_GB2312" w:cs="仿宋_GB2312"/>
          <w:sz w:val="32"/>
          <w:szCs w:val="32"/>
        </w:rPr>
        <w:t>资源</w:t>
      </w:r>
      <w:r>
        <w:rPr>
          <w:rFonts w:ascii="仿宋_GB2312" w:hAnsi="仿宋_GB2312" w:eastAsia="仿宋_GB2312" w:cs="仿宋_GB2312"/>
          <w:sz w:val="32"/>
          <w:szCs w:val="32"/>
        </w:rPr>
        <w:t>税法</w:t>
      </w:r>
      <w:r>
        <w:rPr>
          <w:rFonts w:hint="eastAsia" w:ascii="仿宋_GB2312" w:hAnsi="仿宋_GB2312" w:eastAsia="仿宋_GB2312" w:cs="仿宋"/>
          <w:color w:val="000000"/>
          <w:sz w:val="32"/>
          <w:szCs w:val="32"/>
        </w:rPr>
        <w:t>规定实行幅度税率的税目，其具体适用税率按《</w:t>
      </w:r>
      <w:r>
        <w:rPr>
          <w:rFonts w:hint="eastAsia" w:ascii="仿宋_GB2312" w:eastAsia="仿宋_GB2312"/>
          <w:color w:val="000000"/>
          <w:sz w:val="32"/>
          <w:szCs w:val="32"/>
        </w:rPr>
        <w:t>河南省资源税税目税率表</w:t>
      </w:r>
      <w:r>
        <w:rPr>
          <w:rFonts w:hint="eastAsia" w:ascii="仿宋_GB2312" w:hAnsi="仿宋_GB2312" w:eastAsia="仿宋_GB2312" w:cs="仿宋"/>
          <w:color w:val="000000"/>
          <w:sz w:val="32"/>
          <w:szCs w:val="32"/>
        </w:rPr>
        <w:t>》执行。</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二、</w:t>
      </w:r>
      <w:r>
        <w:rPr>
          <w:rFonts w:hint="eastAsia" w:ascii="仿宋_GB2312" w:hAnsi="仿宋_GB2312" w:eastAsia="仿宋_GB2312" w:cs="仿宋_GB2312"/>
          <w:sz w:val="32"/>
          <w:szCs w:val="32"/>
        </w:rPr>
        <w:t>资源</w:t>
      </w:r>
      <w:r>
        <w:rPr>
          <w:rFonts w:ascii="仿宋_GB2312" w:hAnsi="仿宋_GB2312" w:eastAsia="仿宋_GB2312" w:cs="仿宋_GB2312"/>
          <w:sz w:val="32"/>
          <w:szCs w:val="32"/>
        </w:rPr>
        <w:t>税法</w:t>
      </w:r>
      <w:r>
        <w:rPr>
          <w:rFonts w:hint="eastAsia" w:ascii="仿宋_GB2312" w:hAnsi="仿宋_GB2312" w:eastAsia="仿宋_GB2312" w:cs="仿宋"/>
          <w:color w:val="000000"/>
          <w:sz w:val="32"/>
          <w:szCs w:val="32"/>
        </w:rPr>
        <w:t>规定可以选择实行从价计征或者从量计征的税目中，天然卤水实行从价计征，石灰岩、砂石、其他粘土、地热、矿泉水实行从量计征。</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三、根据资源税法第七条规定的情形免征或者减征资源税的，按以下规定执行：</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（一）纳税人开采或者生产应税产品过程中，</w:t>
      </w:r>
      <w:r>
        <w:rPr>
          <w:rFonts w:hint="eastAsia" w:ascii="Times New Roman" w:hAnsi="Times New Roman" w:eastAsia="仿宋_GB2312"/>
          <w:color w:val="000000"/>
          <w:sz w:val="32"/>
          <w:szCs w:val="32"/>
        </w:rPr>
        <w:t>因意外事故或者自然灾害等原因</w:t>
      </w:r>
      <w:r>
        <w:rPr>
          <w:rFonts w:hint="eastAsia" w:ascii="仿宋_GB2312" w:hAnsi="仿宋_GB2312" w:eastAsia="仿宋_GB2312" w:cs="仿宋"/>
          <w:color w:val="000000"/>
          <w:sz w:val="32"/>
          <w:szCs w:val="32"/>
        </w:rPr>
        <w:t>遭受重大损失的，按其损失金额的</w:t>
      </w:r>
      <w:r>
        <w:rPr>
          <w:rFonts w:ascii="Times New Roman" w:hAnsi="Times New Roman" w:eastAsia="仿宋_GB2312"/>
          <w:color w:val="000000"/>
          <w:sz w:val="32"/>
          <w:szCs w:val="32"/>
        </w:rPr>
        <w:t>百分之五十</w:t>
      </w:r>
      <w:r>
        <w:rPr>
          <w:rFonts w:hint="eastAsia" w:ascii="仿宋_GB2312" w:hAnsi="仿宋_GB2312" w:eastAsia="仿宋_GB2312" w:cs="仿宋"/>
          <w:color w:val="000000"/>
          <w:sz w:val="32"/>
          <w:szCs w:val="32"/>
        </w:rPr>
        <w:t>减征资源税，减税额最高不超过其遭受重大损失当年应纳资源税总额；</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仿宋_GB2312" w:eastAsia="仿宋_GB2312" w:cs="仿宋"/>
          <w:color w:val="000000"/>
          <w:sz w:val="32"/>
          <w:szCs w:val="32"/>
        </w:rPr>
        <w:t>（二）纳税人开采伴生矿，伴生矿与主矿产品销售额分开核算的，伴生矿免征资源税；</w:t>
      </w:r>
    </w:p>
    <w:p>
      <w:pPr>
        <w:pStyle w:val="4"/>
        <w:snapToGrid w:val="0"/>
        <w:spacing w:beforeAutospacing="0" w:afterAutospacing="0" w:line="360" w:lineRule="auto"/>
        <w:ind w:firstLine="632" w:firstLineChars="200"/>
        <w:jc w:val="both"/>
        <w:rPr>
          <w:rFonts w:hint="eastAsia" w:ascii="仿宋_GB2312" w:hAnsi="Times New Roman" w:eastAsia="仿宋_GB2312"/>
          <w:color w:val="000000"/>
          <w:sz w:val="32"/>
          <w:szCs w:val="32"/>
        </w:rPr>
      </w:pPr>
      <w:r>
        <w:rPr>
          <w:rFonts w:hint="eastAsia" w:ascii="仿宋_GB2312" w:hAnsi="仿宋_GB2312" w:eastAsia="仿宋_GB2312" w:cs="仿宋"/>
          <w:color w:val="000000"/>
          <w:sz w:val="32"/>
          <w:szCs w:val="32"/>
        </w:rPr>
        <w:t>（三）</w:t>
      </w:r>
      <w:r>
        <w:rPr>
          <w:rFonts w:ascii="Times New Roman" w:hAnsi="Times New Roman" w:eastAsia="仿宋_GB2312"/>
          <w:color w:val="000000"/>
          <w:sz w:val="32"/>
          <w:szCs w:val="32"/>
        </w:rPr>
        <w:t>纳税人回收利用尾矿库里的尾矿，免征资源税</w:t>
      </w:r>
      <w:r>
        <w:rPr>
          <w:rFonts w:hint="eastAsia" w:ascii="仿宋_GB2312" w:hAnsi="Times New Roman" w:eastAsia="仿宋_GB2312"/>
          <w:color w:val="000000"/>
          <w:sz w:val="32"/>
          <w:szCs w:val="32"/>
        </w:rPr>
        <w:t>。</w:t>
      </w:r>
    </w:p>
    <w:p>
      <w:pPr>
        <w:pStyle w:val="4"/>
        <w:snapToGrid w:val="0"/>
        <w:spacing w:beforeAutospacing="0" w:afterAutospacing="0" w:line="360" w:lineRule="auto"/>
        <w:ind w:firstLine="632" w:firstLineChars="200"/>
        <w:jc w:val="both"/>
        <w:rPr>
          <w:rFonts w:hint="eastAsia" w:ascii="仿宋_GB2312" w:hAnsi="仿宋_GB2312" w:eastAsia="仿宋_GB2312" w:cs="仿宋"/>
          <w:color w:val="000000"/>
          <w:sz w:val="32"/>
          <w:szCs w:val="32"/>
        </w:rPr>
      </w:pPr>
      <w:r>
        <w:rPr>
          <w:rFonts w:hint="eastAsia" w:ascii="仿宋_GB2312" w:hAnsi="Times New Roman" w:eastAsia="仿宋_GB2312"/>
          <w:color w:val="000000"/>
          <w:sz w:val="32"/>
          <w:szCs w:val="32"/>
        </w:rPr>
        <w:t>纳税人符合以上规定的，可申报享受税收优惠政策，并将相关材料留存备查。意外事故、自然灾害和尾矿由县级以上政府应急管理部门会同有关部门认定。共伴生矿由县级以上政府自然资源部门会同有关部门认定。</w:t>
      </w:r>
    </w:p>
    <w:p>
      <w:pPr>
        <w:pStyle w:val="4"/>
        <w:snapToGrid w:val="0"/>
        <w:spacing w:beforeAutospacing="0" w:afterAutospacing="0" w:line="360" w:lineRule="auto"/>
        <w:ind w:firstLine="632" w:firstLineChars="200"/>
        <w:jc w:val="both"/>
        <w:rPr>
          <w:rFonts w:hint="eastAsia" w:ascii="仿宋_GB2312" w:hAnsi="Times New Roman" w:eastAsia="仿宋_GB2312"/>
          <w:color w:val="000000"/>
          <w:sz w:val="32"/>
          <w:szCs w:val="32"/>
        </w:rPr>
      </w:pPr>
      <w:r>
        <w:rPr>
          <w:rFonts w:hint="eastAsia" w:ascii="仿宋_GB2312" w:hAnsi="Times New Roman" w:eastAsia="仿宋_GB2312"/>
          <w:color w:val="000000"/>
          <w:sz w:val="32"/>
          <w:szCs w:val="32"/>
        </w:rPr>
        <w:t>四、各级政府应当制定具体实施办法，并建立健全本地跨部门资源税协作和信息共享工作机制。自然资源、应急管理等部门应当向税务部门提供共伴生矿、尾矿、自然灾害、意外事故等的认定材料以及与减免税相关的其他信息，并在税务部门书面函件送达的十五个工作日内回复。</w:t>
      </w:r>
    </w:p>
    <w:p>
      <w:pPr>
        <w:pStyle w:val="4"/>
        <w:snapToGrid w:val="0"/>
        <w:spacing w:beforeAutospacing="0" w:afterAutospacing="0" w:line="360" w:lineRule="auto"/>
        <w:ind w:firstLine="632" w:firstLineChars="200"/>
        <w:jc w:val="both"/>
        <w:rPr>
          <w:rFonts w:hint="eastAsia" w:ascii="仿宋_GB2312" w:hAnsi="Times New Roman" w:eastAsia="仿宋_GB2312"/>
          <w:color w:val="000000"/>
          <w:sz w:val="32"/>
          <w:szCs w:val="32"/>
        </w:rPr>
      </w:pPr>
      <w:r>
        <w:rPr>
          <w:rFonts w:hint="eastAsia" w:ascii="仿宋_GB2312" w:hAnsi="Times New Roman" w:eastAsia="仿宋_GB2312"/>
          <w:color w:val="000000"/>
          <w:sz w:val="32"/>
          <w:szCs w:val="32"/>
        </w:rPr>
        <w:t>五、本决定自2020年9月1日起施行。</w:t>
      </w:r>
      <w:bookmarkStart w:id="0" w:name="_GoBack"/>
      <w:bookmarkEnd w:id="0"/>
    </w:p>
    <w:p>
      <w:pPr>
        <w:pStyle w:val="4"/>
        <w:widowControl/>
        <w:snapToGrid w:val="0"/>
        <w:spacing w:beforeAutospacing="0" w:afterAutospacing="0" w:line="360" w:lineRule="auto"/>
        <w:ind w:firstLine="632" w:firstLineChars="200"/>
        <w:jc w:val="both"/>
        <w:rPr>
          <w:rFonts w:hint="eastAsia" w:ascii="仿宋_GB2312" w:hAnsi="仿宋_GB2312" w:eastAsia="仿宋_GB2312" w:cs="仿宋"/>
          <w:color w:val="000000"/>
          <w:sz w:val="30"/>
          <w:szCs w:val="30"/>
        </w:rPr>
      </w:pPr>
      <w:r>
        <w:rPr>
          <w:rFonts w:hint="eastAsia" w:ascii="仿宋_GB2312" w:hAnsi="Times New Roman" w:eastAsia="仿宋_GB2312"/>
          <w:color w:val="000000"/>
          <w:sz w:val="32"/>
          <w:szCs w:val="32"/>
        </w:rPr>
        <w:t>附件：河南省资源税税目税率表</w:t>
      </w:r>
    </w:p>
    <w:p>
      <w:pPr>
        <w:tabs>
          <w:tab w:val="left" w:pos="6099"/>
        </w:tabs>
        <w:spacing w:line="600" w:lineRule="exact"/>
        <w:rPr>
          <w:rFonts w:hint="eastAsia" w:ascii="黑体" w:hAnsi="黑体" w:eastAsia="黑体" w:cs="仿宋_GB2312"/>
          <w:sz w:val="30"/>
          <w:szCs w:val="30"/>
        </w:rPr>
      </w:pPr>
      <w:r>
        <w:rPr>
          <w:rFonts w:ascii="仿宋_GB2312" w:eastAsia="仿宋_GB2312"/>
          <w:sz w:val="30"/>
          <w:szCs w:val="30"/>
        </w:rPr>
        <w:br w:type="page"/>
      </w:r>
      <w:r>
        <w:rPr>
          <w:rFonts w:hint="eastAsia" w:ascii="黑体" w:hAnsi="黑体" w:eastAsia="黑体" w:cs="仿宋_GB2312"/>
          <w:sz w:val="30"/>
          <w:szCs w:val="30"/>
        </w:rPr>
        <w:t>附件</w:t>
      </w:r>
    </w:p>
    <w:p>
      <w:pPr>
        <w:tabs>
          <w:tab w:val="left" w:pos="6099"/>
        </w:tabs>
        <w:spacing w:line="600" w:lineRule="exact"/>
        <w:jc w:val="center"/>
        <w:rPr>
          <w:rFonts w:hint="eastAsia" w:ascii="方正小标宋简体" w:hAnsi="仿宋_GB2312" w:eastAsia="方正小标宋简体" w:cs="仿宋_GB2312"/>
          <w:sz w:val="44"/>
          <w:szCs w:val="44"/>
        </w:rPr>
      </w:pPr>
      <w:r>
        <w:rPr>
          <w:rFonts w:hint="eastAsia" w:ascii="方正小标宋简体" w:eastAsia="方正小标宋简体"/>
          <w:color w:val="000000"/>
          <w:sz w:val="44"/>
          <w:szCs w:val="44"/>
        </w:rPr>
        <w:t>河南省资源税税目税率表</w:t>
      </w:r>
    </w:p>
    <w:p>
      <w:pPr>
        <w:tabs>
          <w:tab w:val="left" w:pos="6099"/>
        </w:tabs>
        <w:spacing w:line="600" w:lineRule="exact"/>
        <w:rPr>
          <w:rFonts w:hint="eastAsia" w:ascii="仿宋_GB2312" w:hAnsi="仿宋_GB2312" w:eastAsia="仿宋_GB2312" w:cs="仿宋_GB2312"/>
          <w:sz w:val="30"/>
          <w:szCs w:val="30"/>
        </w:rPr>
      </w:pPr>
    </w:p>
    <w:tbl>
      <w:tblPr>
        <w:tblStyle w:val="6"/>
        <w:tblW w:w="7891" w:type="dxa"/>
        <w:jc w:val="center"/>
        <w:tblInd w:w="0" w:type="dxa"/>
        <w:tblLayout w:type="fixed"/>
        <w:tblCellMar>
          <w:top w:w="0" w:type="dxa"/>
          <w:left w:w="108" w:type="dxa"/>
          <w:bottom w:w="0" w:type="dxa"/>
          <w:right w:w="108" w:type="dxa"/>
        </w:tblCellMar>
      </w:tblPr>
      <w:tblGrid>
        <w:gridCol w:w="1568"/>
        <w:gridCol w:w="1045"/>
        <w:gridCol w:w="2645"/>
        <w:gridCol w:w="1080"/>
        <w:gridCol w:w="1553"/>
      </w:tblGrid>
      <w:tr>
        <w:tblPrEx>
          <w:tblLayout w:type="fixed"/>
          <w:tblCellMar>
            <w:top w:w="0" w:type="dxa"/>
            <w:left w:w="108" w:type="dxa"/>
            <w:bottom w:w="0" w:type="dxa"/>
            <w:right w:w="108" w:type="dxa"/>
          </w:tblCellMar>
        </w:tblPrEx>
        <w:trPr>
          <w:trHeight w:val="454" w:hRule="exact"/>
          <w:jc w:val="center"/>
        </w:trPr>
        <w:tc>
          <w:tcPr>
            <w:tcW w:w="5258" w:type="dxa"/>
            <w:gridSpan w:val="3"/>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hint="eastAsia" w:asciiTheme="majorEastAsia" w:hAnsiTheme="majorEastAsia" w:eastAsiaTheme="majorEastAsia" w:cstheme="majorEastAsia"/>
                <w:b/>
                <w:bCs/>
                <w:color w:val="000000"/>
                <w:kern w:val="0"/>
                <w:sz w:val="20"/>
                <w:szCs w:val="20"/>
              </w:rPr>
            </w:pPr>
            <w:r>
              <w:rPr>
                <w:rFonts w:hint="eastAsia" w:asciiTheme="majorEastAsia" w:hAnsiTheme="majorEastAsia" w:eastAsiaTheme="majorEastAsia" w:cstheme="majorEastAsia"/>
                <w:b/>
                <w:bCs/>
                <w:color w:val="000000"/>
                <w:kern w:val="0"/>
                <w:sz w:val="20"/>
                <w:szCs w:val="20"/>
              </w:rPr>
              <w:t>税目</w:t>
            </w:r>
          </w:p>
        </w:tc>
        <w:tc>
          <w:tcPr>
            <w:tcW w:w="1080"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hint="eastAsia" w:asciiTheme="majorEastAsia" w:hAnsiTheme="majorEastAsia" w:eastAsiaTheme="majorEastAsia" w:cstheme="majorEastAsia"/>
                <w:b/>
                <w:bCs/>
                <w:color w:val="000000"/>
                <w:kern w:val="0"/>
                <w:sz w:val="20"/>
                <w:szCs w:val="20"/>
              </w:rPr>
            </w:pPr>
            <w:r>
              <w:rPr>
                <w:rFonts w:hint="eastAsia" w:asciiTheme="majorEastAsia" w:hAnsiTheme="majorEastAsia" w:eastAsiaTheme="majorEastAsia" w:cstheme="majorEastAsia"/>
                <w:b/>
                <w:bCs/>
                <w:color w:val="000000"/>
                <w:kern w:val="0"/>
                <w:sz w:val="20"/>
                <w:szCs w:val="20"/>
              </w:rPr>
              <w:t>征税对象</w:t>
            </w:r>
          </w:p>
        </w:tc>
        <w:tc>
          <w:tcPr>
            <w:tcW w:w="1553"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hint="eastAsia" w:asciiTheme="majorEastAsia" w:hAnsiTheme="majorEastAsia" w:eastAsiaTheme="majorEastAsia" w:cstheme="majorEastAsia"/>
                <w:b/>
                <w:bCs/>
                <w:color w:val="000000"/>
                <w:kern w:val="0"/>
                <w:sz w:val="20"/>
                <w:szCs w:val="20"/>
              </w:rPr>
            </w:pPr>
            <w:r>
              <w:rPr>
                <w:rFonts w:hint="eastAsia" w:asciiTheme="majorEastAsia" w:hAnsiTheme="majorEastAsia" w:eastAsiaTheme="majorEastAsia" w:cstheme="majorEastAsia"/>
                <w:b/>
                <w:bCs/>
                <w:color w:val="000000"/>
                <w:kern w:val="0"/>
                <w:sz w:val="20"/>
                <w:szCs w:val="20"/>
              </w:rPr>
              <w:t>税率</w:t>
            </w:r>
          </w:p>
        </w:tc>
      </w:tr>
      <w:tr>
        <w:tblPrEx>
          <w:tblLayout w:type="fixed"/>
          <w:tblCellMar>
            <w:top w:w="0" w:type="dxa"/>
            <w:left w:w="108" w:type="dxa"/>
            <w:bottom w:w="0" w:type="dxa"/>
            <w:right w:w="108" w:type="dxa"/>
          </w:tblCellMar>
        </w:tblPrEx>
        <w:trPr>
          <w:trHeight w:val="454" w:hRule="exact"/>
          <w:jc w:val="center"/>
        </w:trPr>
        <w:tc>
          <w:tcPr>
            <w:tcW w:w="1568" w:type="dxa"/>
            <w:vMerge w:val="restart"/>
            <w:tcBorders>
              <w:top w:val="single" w:color="auto" w:sz="8" w:space="0"/>
              <w:left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能源矿产</w:t>
            </w:r>
          </w:p>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（6个）</w:t>
            </w:r>
          </w:p>
        </w:tc>
        <w:tc>
          <w:tcPr>
            <w:tcW w:w="3690" w:type="dxa"/>
            <w:gridSpan w:val="2"/>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原油</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b/>
                <w:bCs/>
                <w:color w:val="000000"/>
                <w:kern w:val="0"/>
                <w:sz w:val="20"/>
                <w:szCs w:val="20"/>
              </w:rPr>
            </w:pPr>
          </w:p>
        </w:tc>
        <w:tc>
          <w:tcPr>
            <w:tcW w:w="3690" w:type="dxa"/>
            <w:gridSpan w:val="2"/>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天然气</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0"/>
                <w:szCs w:val="20"/>
              </w:rPr>
            </w:pPr>
          </w:p>
        </w:tc>
        <w:tc>
          <w:tcPr>
            <w:tcW w:w="3690" w:type="dxa"/>
            <w:gridSpan w:val="2"/>
            <w:vMerge w:val="restart"/>
            <w:tcBorders>
              <w:top w:val="single" w:color="auto" w:sz="8" w:space="0"/>
              <w:left w:val="single" w:color="auto" w:sz="8" w:space="0"/>
              <w:bottom w:val="single" w:color="000000"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煤</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0"/>
                <w:szCs w:val="20"/>
              </w:rPr>
            </w:pPr>
          </w:p>
        </w:tc>
        <w:tc>
          <w:tcPr>
            <w:tcW w:w="3690" w:type="dxa"/>
            <w:gridSpan w:val="2"/>
            <w:vMerge w:val="continue"/>
            <w:tcBorders>
              <w:top w:val="nil"/>
              <w:left w:val="single" w:color="auto" w:sz="8" w:space="0"/>
              <w:bottom w:val="nil"/>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3690" w:type="dxa"/>
            <w:gridSpan w:val="2"/>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煤成（层）气</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3690" w:type="dxa"/>
            <w:gridSpan w:val="2"/>
            <w:vMerge w:val="restart"/>
            <w:tcBorders>
              <w:top w:val="single" w:color="auto" w:sz="8" w:space="0"/>
              <w:left w:val="single" w:color="auto" w:sz="8" w:space="0"/>
              <w:bottom w:val="single" w:color="000000"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石煤</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3690" w:type="dxa"/>
            <w:gridSpan w:val="2"/>
            <w:vMerge w:val="continue"/>
            <w:tcBorders>
              <w:top w:val="nil"/>
              <w:left w:val="single" w:color="auto" w:sz="8" w:space="0"/>
              <w:bottom w:val="nil"/>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widowControl/>
              <w:jc w:val="left"/>
              <w:rPr>
                <w:rFonts w:hint="eastAsia" w:ascii="宋体" w:hAnsi="宋体" w:eastAsia="宋体" w:cs="宋体"/>
                <w:color w:val="000000"/>
                <w:kern w:val="0"/>
                <w:sz w:val="22"/>
              </w:rPr>
            </w:pPr>
          </w:p>
        </w:tc>
        <w:tc>
          <w:tcPr>
            <w:tcW w:w="1045" w:type="dxa"/>
            <w:vMerge w:val="restart"/>
            <w:tcBorders>
              <w:top w:val="single" w:color="auto" w:sz="8" w:space="0"/>
              <w:left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地热</w:t>
            </w:r>
          </w:p>
        </w:tc>
        <w:tc>
          <w:tcPr>
            <w:tcW w:w="2645" w:type="dxa"/>
            <w:tcBorders>
              <w:top w:val="single" w:color="auto" w:sz="8" w:space="0"/>
              <w:left w:val="nil"/>
              <w:bottom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采灌平衡型</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1元／立方米</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bottom w:val="single" w:color="auto" w:sz="8" w:space="0"/>
              <w:right w:val="single" w:color="auto" w:sz="8" w:space="0"/>
            </w:tcBorders>
            <w:shd w:val="clear" w:color="000000" w:fill="FFFFFF"/>
            <w:vAlign w:val="center"/>
          </w:tcPr>
          <w:p>
            <w:pPr>
              <w:widowControl/>
              <w:jc w:val="left"/>
              <w:rPr>
                <w:rFonts w:hint="eastAsia" w:ascii="宋体" w:hAnsi="宋体" w:eastAsia="宋体" w:cs="宋体"/>
                <w:color w:val="000000"/>
                <w:kern w:val="0"/>
                <w:sz w:val="22"/>
              </w:rPr>
            </w:pPr>
          </w:p>
        </w:tc>
        <w:tc>
          <w:tcPr>
            <w:tcW w:w="1045" w:type="dxa"/>
            <w:vMerge w:val="continue"/>
            <w:tcBorders>
              <w:left w:val="single" w:color="auto" w:sz="8" w:space="0"/>
              <w:bottom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p>
        </w:tc>
        <w:tc>
          <w:tcPr>
            <w:tcW w:w="2645" w:type="dxa"/>
            <w:tcBorders>
              <w:top w:val="single" w:color="auto" w:sz="8" w:space="0"/>
              <w:left w:val="nil"/>
              <w:bottom w:val="single" w:color="auto" w:sz="8" w:space="0"/>
              <w:right w:val="single" w:color="000000"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消耗型</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12元/立方米</w:t>
            </w:r>
          </w:p>
        </w:tc>
      </w:tr>
      <w:tr>
        <w:tblPrEx>
          <w:tblLayout w:type="fixed"/>
          <w:tblCellMar>
            <w:top w:w="0" w:type="dxa"/>
            <w:left w:w="108" w:type="dxa"/>
            <w:bottom w:w="0" w:type="dxa"/>
            <w:right w:w="108" w:type="dxa"/>
          </w:tblCellMar>
        </w:tblPrEx>
        <w:trPr>
          <w:trHeight w:val="454" w:hRule="exact"/>
          <w:jc w:val="center"/>
        </w:trPr>
        <w:tc>
          <w:tcPr>
            <w:tcW w:w="1568" w:type="dxa"/>
            <w:vMerge w:val="restart"/>
            <w:tcBorders>
              <w:top w:val="nil"/>
              <w:left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金属矿产</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（14个）</w:t>
            </w:r>
          </w:p>
        </w:tc>
        <w:tc>
          <w:tcPr>
            <w:tcW w:w="1045" w:type="dxa"/>
            <w:vMerge w:val="restart"/>
            <w:tcBorders>
              <w:top w:val="nil"/>
              <w:left w:val="nil"/>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黑色金属</w:t>
            </w:r>
          </w:p>
          <w:p>
            <w:pPr>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（3个）</w:t>
            </w:r>
          </w:p>
        </w:tc>
        <w:tc>
          <w:tcPr>
            <w:tcW w:w="264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铁</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0"/>
                <w:szCs w:val="20"/>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264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锰</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264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264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钒</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bottom w:val="single" w:color="auto" w:sz="8" w:space="0"/>
              <w:right w:val="single" w:color="auto" w:sz="8" w:space="0"/>
            </w:tcBorders>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restart"/>
            <w:tcBorders>
              <w:top w:val="nil"/>
              <w:left w:val="nil"/>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有色金属</w:t>
            </w:r>
          </w:p>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（11个）</w:t>
            </w:r>
          </w:p>
        </w:tc>
        <w:tc>
          <w:tcPr>
            <w:tcW w:w="264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铜</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9%</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264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铅、锌</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264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1045" w:type="dxa"/>
            <w:vMerge w:val="continue"/>
            <w:tcBorders>
              <w:left w:val="nil"/>
              <w:right w:val="single" w:color="auto" w:sz="8" w:space="0"/>
            </w:tcBorders>
            <w:shd w:val="clear" w:color="000000" w:fill="FFFFFF"/>
            <w:vAlign w:val="center"/>
          </w:tcPr>
          <w:p>
            <w:pPr>
              <w:jc w:val="left"/>
              <w:rPr>
                <w:rFonts w:hint="eastAsia" w:ascii="宋体" w:hAnsi="宋体" w:eastAsia="宋体" w:cs="宋体"/>
                <w:color w:val="000000"/>
                <w:kern w:val="0"/>
                <w:sz w:val="22"/>
              </w:rPr>
            </w:pPr>
          </w:p>
        </w:tc>
        <w:tc>
          <w:tcPr>
            <w:tcW w:w="2645"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镍、锑、锂</w:t>
            </w: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Layout w:type="fixed"/>
          <w:tblCellMar>
            <w:top w:w="0" w:type="dxa"/>
            <w:left w:w="108" w:type="dxa"/>
            <w:bottom w:w="0" w:type="dxa"/>
            <w:right w:w="108" w:type="dxa"/>
          </w:tblCellMar>
        </w:tblPrEx>
        <w:trPr>
          <w:trHeight w:val="454" w:hRule="exact"/>
          <w:jc w:val="center"/>
        </w:trPr>
        <w:tc>
          <w:tcPr>
            <w:tcW w:w="1568" w:type="dxa"/>
            <w:vMerge w:val="continue"/>
            <w:tcBorders>
              <w:left w:val="single" w:color="auto" w:sz="8" w:space="0"/>
              <w:bottom w:val="single" w:color="auto" w:sz="8" w:space="0"/>
              <w:right w:val="single" w:color="auto" w:sz="8" w:space="0"/>
            </w:tcBorders>
            <w:shd w:val="clear" w:color="000000" w:fill="FFFFFF"/>
            <w:vAlign w:val="center"/>
          </w:tcPr>
          <w:p>
            <w:pPr>
              <w:widowControl/>
              <w:jc w:val="left"/>
              <w:rPr>
                <w:rFonts w:hint="eastAsia" w:ascii="宋体" w:hAnsi="宋体" w:eastAsia="宋体" w:cs="宋体"/>
                <w:color w:val="000000"/>
                <w:kern w:val="0"/>
                <w:sz w:val="22"/>
              </w:rPr>
            </w:pPr>
          </w:p>
        </w:tc>
        <w:tc>
          <w:tcPr>
            <w:tcW w:w="1045" w:type="dxa"/>
            <w:vMerge w:val="continue"/>
            <w:tcBorders>
              <w:left w:val="nil"/>
              <w:bottom w:val="single" w:color="auto" w:sz="8" w:space="0"/>
              <w:right w:val="single" w:color="auto" w:sz="8" w:space="0"/>
            </w:tcBorders>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hint="eastAsia" w:ascii="宋体" w:hAnsi="宋体" w:eastAsia="宋体" w:cs="宋体"/>
                <w:color w:val="000000"/>
                <w:kern w:val="0"/>
                <w:sz w:val="20"/>
                <w:szCs w:val="20"/>
              </w:rPr>
            </w:pPr>
          </w:p>
        </w:tc>
        <w:tc>
          <w:tcPr>
            <w:tcW w:w="1080"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tbl>
      <w:tblPr>
        <w:tblStyle w:val="6"/>
        <w:tblW w:w="7891"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00"/>
        <w:gridCol w:w="1213"/>
        <w:gridCol w:w="2645"/>
        <w:gridCol w:w="1080"/>
        <w:gridCol w:w="155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5258" w:type="dxa"/>
            <w:gridSpan w:val="3"/>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税目</w:t>
            </w:r>
          </w:p>
        </w:tc>
        <w:tc>
          <w:tcPr>
            <w:tcW w:w="1080" w:type="dxa"/>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征税对象</w:t>
            </w:r>
          </w:p>
        </w:tc>
        <w:tc>
          <w:tcPr>
            <w:tcW w:w="1553" w:type="dxa"/>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税率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金属矿产</w:t>
            </w:r>
          </w:p>
          <w:p>
            <w:pPr>
              <w:jc w:val="center"/>
              <w:rPr>
                <w:rFonts w:hint="eastAsia" w:ascii="宋体" w:hAnsi="宋体" w:eastAsia="宋体" w:cs="宋体"/>
                <w:color w:val="000000"/>
                <w:kern w:val="0"/>
                <w:sz w:val="22"/>
              </w:rPr>
            </w:pPr>
            <w:r>
              <w:rPr>
                <w:rFonts w:hint="eastAsia" w:ascii="宋体" w:hAnsi="宋体" w:eastAsia="宋体" w:cs="宋体"/>
                <w:color w:val="000000"/>
                <w:kern w:val="0"/>
                <w:sz w:val="20"/>
                <w:szCs w:val="20"/>
              </w:rPr>
              <w:t>（14个）</w:t>
            </w:r>
          </w:p>
        </w:tc>
        <w:tc>
          <w:tcPr>
            <w:tcW w:w="1213"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有色金属</w:t>
            </w:r>
          </w:p>
          <w:p>
            <w:pPr>
              <w:jc w:val="center"/>
              <w:rPr>
                <w:rFonts w:hint="eastAsia" w:ascii="宋体" w:hAnsi="宋体" w:eastAsia="宋体" w:cs="宋体"/>
                <w:color w:val="000000"/>
                <w:kern w:val="0"/>
                <w:sz w:val="22"/>
              </w:rPr>
            </w:pPr>
            <w:r>
              <w:rPr>
                <w:rFonts w:hint="eastAsia" w:ascii="宋体" w:hAnsi="宋体" w:eastAsia="宋体" w:cs="宋体"/>
                <w:color w:val="000000"/>
                <w:kern w:val="0"/>
                <w:sz w:val="20"/>
                <w:szCs w:val="20"/>
              </w:rPr>
              <w:t>（11个）</w:t>
            </w: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铝土矿</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shd w:val="clear" w:color="auto" w:fill="auto"/>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钨</w:t>
            </w:r>
          </w:p>
        </w:tc>
        <w:tc>
          <w:tcPr>
            <w:tcW w:w="1080" w:type="dxa"/>
            <w:shd w:val="clear" w:color="000000" w:fill="FFFFFF"/>
            <w:vAlign w:val="center"/>
          </w:tcPr>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shd w:val="clear" w:color="auto" w:fill="auto"/>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钼</w:t>
            </w:r>
          </w:p>
        </w:tc>
        <w:tc>
          <w:tcPr>
            <w:tcW w:w="1080" w:type="dxa"/>
            <w:shd w:val="clear" w:color="000000" w:fill="FFFFFF"/>
            <w:vAlign w:val="center"/>
          </w:tcPr>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金</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银</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1213"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非金属矿产</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（52个）</w:t>
            </w:r>
          </w:p>
        </w:tc>
        <w:tc>
          <w:tcPr>
            <w:tcW w:w="1213"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矿物类</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（32个）</w:t>
            </w: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高岭土、膨润土</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石灰岩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3.5元/吨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3.5元/吨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石墨</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萤石</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硫铁矿</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天然石英砂、脉石英、硅线石（矽线石）、珍珠岩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89"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蓝晶石、长石、陶瓷土、耐火粘土、伊利石粘土、石棉、石榴子石</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76"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滑石、叶蜡石、硅灰石、方解石</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1" w:hRule="exact"/>
          <w:jc w:val="center"/>
        </w:trPr>
        <w:tc>
          <w:tcPr>
            <w:tcW w:w="1400"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1213"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bl>
    <w:p>
      <w:pPr>
        <w:rPr>
          <w:rFonts w:hint="eastAsia" w:ascii="宋体" w:hAnsi="宋体" w:eastAsia="宋体" w:cs="宋体"/>
        </w:rPr>
      </w:pPr>
    </w:p>
    <w:tbl>
      <w:tblPr>
        <w:tblStyle w:val="6"/>
        <w:tblW w:w="7891"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00"/>
        <w:gridCol w:w="1213"/>
        <w:gridCol w:w="2645"/>
        <w:gridCol w:w="1080"/>
        <w:gridCol w:w="155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5258" w:type="dxa"/>
            <w:gridSpan w:val="3"/>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税目</w:t>
            </w:r>
          </w:p>
        </w:tc>
        <w:tc>
          <w:tcPr>
            <w:tcW w:w="1080" w:type="dxa"/>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征税对象</w:t>
            </w:r>
          </w:p>
        </w:tc>
        <w:tc>
          <w:tcPr>
            <w:tcW w:w="1553" w:type="dxa"/>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税率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非金属矿产</w:t>
            </w:r>
          </w:p>
          <w:p>
            <w:pPr>
              <w:jc w:val="center"/>
              <w:rPr>
                <w:rFonts w:hint="eastAsia" w:ascii="宋体" w:hAnsi="宋体" w:eastAsia="宋体" w:cs="宋体"/>
                <w:color w:val="000000"/>
                <w:kern w:val="0"/>
                <w:sz w:val="22"/>
              </w:rPr>
            </w:pPr>
            <w:r>
              <w:rPr>
                <w:rFonts w:hint="eastAsia" w:ascii="宋体" w:hAnsi="宋体" w:eastAsia="宋体" w:cs="宋体"/>
                <w:color w:val="000000"/>
                <w:kern w:val="0"/>
                <w:sz w:val="20"/>
                <w:szCs w:val="20"/>
              </w:rPr>
              <w:t>（52个）</w:t>
            </w:r>
          </w:p>
        </w:tc>
        <w:tc>
          <w:tcPr>
            <w:tcW w:w="1213"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矿物类</w:t>
            </w:r>
          </w:p>
          <w:p>
            <w:pPr>
              <w:jc w:val="left"/>
              <w:rPr>
                <w:rFonts w:hint="eastAsia" w:ascii="宋体" w:hAnsi="宋体" w:eastAsia="宋体" w:cs="宋体"/>
                <w:color w:val="000000"/>
                <w:kern w:val="0"/>
                <w:sz w:val="22"/>
              </w:rPr>
            </w:pPr>
            <w:r>
              <w:rPr>
                <w:rFonts w:hint="eastAsia" w:ascii="宋体" w:hAnsi="宋体" w:eastAsia="宋体" w:cs="宋体"/>
                <w:color w:val="000000"/>
                <w:kern w:val="0"/>
                <w:sz w:val="20"/>
                <w:szCs w:val="20"/>
              </w:rPr>
              <w:t>（32个）</w:t>
            </w: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天然碱</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芒硝</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铁矾土</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透辉石、重晶石、蛭石、红柱石、石膏</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6"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云母、沸石</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000"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其他粘土（铸型用粘土、砖瓦用粘土、陶粒用粘土、水泥配料用粘土、水泥配料用红土、水泥配料用黄土、水泥配料用泥岩、保温材料用粘土）</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1元/吨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923"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1元/吨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岩石类</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（19个）</w:t>
            </w: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大理岩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花岗岩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restart"/>
            <w:shd w:val="clear" w:color="auto" w:fill="auto"/>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石英岩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白云岩、安山岩、玄武岩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砂岩、辉绿岩、蛇纹岩、泥灰岩、天然油石、橄榄岩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35" w:hRule="exact"/>
          <w:jc w:val="center"/>
        </w:trPr>
        <w:tc>
          <w:tcPr>
            <w:tcW w:w="1400"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1213"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w:t>
            </w:r>
          </w:p>
        </w:tc>
      </w:tr>
    </w:tbl>
    <w:p>
      <w:pPr>
        <w:rPr>
          <w:rFonts w:hint="eastAsia" w:ascii="宋体" w:hAnsi="宋体" w:eastAsia="宋体" w:cs="宋体"/>
        </w:rPr>
      </w:pPr>
    </w:p>
    <w:tbl>
      <w:tblPr>
        <w:tblStyle w:val="6"/>
        <w:tblW w:w="7891"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00"/>
        <w:gridCol w:w="1213"/>
        <w:gridCol w:w="2645"/>
        <w:gridCol w:w="1080"/>
        <w:gridCol w:w="155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5258" w:type="dxa"/>
            <w:gridSpan w:val="3"/>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税目</w:t>
            </w:r>
          </w:p>
        </w:tc>
        <w:tc>
          <w:tcPr>
            <w:tcW w:w="1080" w:type="dxa"/>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征税对象</w:t>
            </w:r>
          </w:p>
        </w:tc>
        <w:tc>
          <w:tcPr>
            <w:tcW w:w="1553" w:type="dxa"/>
            <w:shd w:val="clear" w:color="000000" w:fill="FFFFFF"/>
            <w:vAlign w:val="center"/>
          </w:tcPr>
          <w:p>
            <w:pPr>
              <w:widowControl/>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税率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非金属矿产</w:t>
            </w:r>
          </w:p>
          <w:p>
            <w:pPr>
              <w:jc w:val="center"/>
              <w:rPr>
                <w:rFonts w:hint="eastAsia" w:ascii="宋体" w:hAnsi="宋体" w:eastAsia="宋体" w:cs="宋体"/>
                <w:color w:val="000000"/>
                <w:kern w:val="0"/>
                <w:sz w:val="22"/>
              </w:rPr>
            </w:pPr>
            <w:r>
              <w:rPr>
                <w:rFonts w:hint="eastAsia" w:ascii="宋体" w:hAnsi="宋体" w:eastAsia="宋体" w:cs="宋体"/>
                <w:color w:val="000000"/>
                <w:kern w:val="0"/>
                <w:sz w:val="20"/>
                <w:szCs w:val="20"/>
              </w:rPr>
              <w:t>（52个）</w:t>
            </w:r>
          </w:p>
        </w:tc>
        <w:tc>
          <w:tcPr>
            <w:tcW w:w="1213"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岩石类</w:t>
            </w:r>
          </w:p>
          <w:p>
            <w:pPr>
              <w:jc w:val="center"/>
              <w:rPr>
                <w:rFonts w:hint="eastAsia" w:ascii="宋体" w:hAnsi="宋体" w:eastAsia="宋体" w:cs="宋体"/>
                <w:color w:val="000000"/>
                <w:kern w:val="0"/>
                <w:sz w:val="22"/>
              </w:rPr>
            </w:pPr>
            <w:r>
              <w:rPr>
                <w:rFonts w:hint="eastAsia" w:ascii="宋体" w:hAnsi="宋体" w:eastAsia="宋体" w:cs="宋体"/>
                <w:color w:val="000000"/>
                <w:kern w:val="0"/>
                <w:sz w:val="20"/>
                <w:szCs w:val="20"/>
              </w:rPr>
              <w:t>（19个）</w:t>
            </w:r>
          </w:p>
        </w:tc>
        <w:tc>
          <w:tcPr>
            <w:tcW w:w="2645" w:type="dxa"/>
            <w:vMerge w:val="restart"/>
            <w:shd w:val="clear" w:color="000000" w:fill="FFFFFF"/>
            <w:vAlign w:val="center"/>
          </w:tcPr>
          <w:p>
            <w:pPr>
              <w:widowControl/>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板岩、浮石、凝灰岩、片麻岩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页岩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霞石正长岩</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jc w:val="left"/>
              <w:rPr>
                <w:rFonts w:hint="eastAsia" w:ascii="宋体" w:hAnsi="宋体" w:eastAsia="宋体" w:cs="宋体"/>
                <w:color w:val="000000"/>
                <w:kern w:val="0"/>
                <w:sz w:val="22"/>
              </w:rPr>
            </w:pP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砂石</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3.5元/吨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2645" w:type="dxa"/>
            <w:vMerge w:val="continue"/>
            <w:shd w:val="clear" w:color="auto" w:fill="auto"/>
            <w:vAlign w:val="center"/>
          </w:tcPr>
          <w:p>
            <w:pPr>
              <w:widowControl/>
              <w:jc w:val="center"/>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3.5元/吨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exact"/>
          <w:jc w:val="center"/>
        </w:trPr>
        <w:tc>
          <w:tcPr>
            <w:tcW w:w="1400" w:type="dxa"/>
            <w:vMerge w:val="continue"/>
            <w:shd w:val="clear" w:color="000000" w:fill="FFFFFF"/>
            <w:vAlign w:val="center"/>
          </w:tcPr>
          <w:p>
            <w:pPr>
              <w:jc w:val="left"/>
              <w:rPr>
                <w:rFonts w:hint="eastAsia" w:ascii="宋体" w:hAnsi="宋体" w:eastAsia="宋体" w:cs="宋体"/>
                <w:color w:val="000000"/>
                <w:kern w:val="0"/>
                <w:sz w:val="22"/>
              </w:rPr>
            </w:pPr>
          </w:p>
        </w:tc>
        <w:tc>
          <w:tcPr>
            <w:tcW w:w="1213"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宝玉石类</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（1个）</w:t>
            </w:r>
          </w:p>
        </w:tc>
        <w:tc>
          <w:tcPr>
            <w:tcW w:w="2645"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玉石</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95" w:hRule="exact"/>
          <w:jc w:val="center"/>
        </w:trPr>
        <w:tc>
          <w:tcPr>
            <w:tcW w:w="1400" w:type="dxa"/>
            <w:vMerge w:val="continue"/>
            <w:shd w:val="clear" w:color="000000" w:fill="FFFFFF"/>
            <w:vAlign w:val="center"/>
          </w:tcPr>
          <w:p>
            <w:pPr>
              <w:widowControl/>
              <w:jc w:val="left"/>
              <w:rPr>
                <w:rFonts w:hint="eastAsia" w:ascii="宋体" w:hAnsi="宋体" w:eastAsia="宋体" w:cs="宋体"/>
                <w:color w:val="000000"/>
                <w:kern w:val="0"/>
                <w:sz w:val="22"/>
              </w:rPr>
            </w:pPr>
          </w:p>
        </w:tc>
        <w:tc>
          <w:tcPr>
            <w:tcW w:w="1213" w:type="dxa"/>
            <w:vMerge w:val="continue"/>
            <w:shd w:val="clear" w:color="000000" w:fill="FFFFFF"/>
            <w:vAlign w:val="center"/>
          </w:tcPr>
          <w:p>
            <w:pPr>
              <w:widowControl/>
              <w:jc w:val="center"/>
              <w:rPr>
                <w:rFonts w:hint="eastAsia" w:ascii="宋体" w:hAnsi="宋体" w:eastAsia="宋体" w:cs="宋体"/>
                <w:color w:val="000000"/>
                <w:kern w:val="0"/>
                <w:sz w:val="20"/>
                <w:szCs w:val="20"/>
              </w:rPr>
            </w:pPr>
          </w:p>
        </w:tc>
        <w:tc>
          <w:tcPr>
            <w:tcW w:w="2645" w:type="dxa"/>
            <w:vMerge w:val="continue"/>
            <w:shd w:val="clear" w:color="auto" w:fill="auto"/>
            <w:vAlign w:val="center"/>
          </w:tcPr>
          <w:p>
            <w:pPr>
              <w:widowControl/>
              <w:jc w:val="left"/>
              <w:rPr>
                <w:rFonts w:hint="eastAsia" w:ascii="宋体" w:hAnsi="宋体" w:eastAsia="宋体" w:cs="宋体"/>
                <w:color w:val="000000"/>
                <w:kern w:val="0"/>
                <w:sz w:val="20"/>
                <w:szCs w:val="20"/>
              </w:rPr>
            </w:pP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23" w:hRule="atLeast"/>
          <w:jc w:val="center"/>
        </w:trPr>
        <w:tc>
          <w:tcPr>
            <w:tcW w:w="140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水气矿产</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（1个）</w:t>
            </w:r>
          </w:p>
        </w:tc>
        <w:tc>
          <w:tcPr>
            <w:tcW w:w="3858" w:type="dxa"/>
            <w:gridSpan w:val="2"/>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矿泉水</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12元/立方米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47" w:hRule="exact"/>
          <w:jc w:val="center"/>
        </w:trPr>
        <w:tc>
          <w:tcPr>
            <w:tcW w:w="1400" w:type="dxa"/>
            <w:vMerge w:val="restart"/>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盐</w:t>
            </w:r>
          </w:p>
          <w:p>
            <w:pPr>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（2个）</w:t>
            </w:r>
          </w:p>
        </w:tc>
        <w:tc>
          <w:tcPr>
            <w:tcW w:w="3858" w:type="dxa"/>
            <w:gridSpan w:val="2"/>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钠盐</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选矿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14" w:hRule="exact"/>
          <w:jc w:val="center"/>
        </w:trPr>
        <w:tc>
          <w:tcPr>
            <w:tcW w:w="1400" w:type="dxa"/>
            <w:vMerge w:val="continue"/>
            <w:shd w:val="clear" w:color="000000" w:fill="FFFFFF"/>
            <w:vAlign w:val="center"/>
          </w:tcPr>
          <w:p>
            <w:pPr>
              <w:widowControl/>
              <w:jc w:val="center"/>
              <w:rPr>
                <w:rFonts w:hint="eastAsia" w:ascii="宋体" w:hAnsi="宋体" w:eastAsia="宋体" w:cs="宋体"/>
                <w:color w:val="000000"/>
                <w:kern w:val="0"/>
                <w:sz w:val="20"/>
                <w:szCs w:val="20"/>
              </w:rPr>
            </w:pPr>
          </w:p>
        </w:tc>
        <w:tc>
          <w:tcPr>
            <w:tcW w:w="3858" w:type="dxa"/>
            <w:gridSpan w:val="2"/>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天然卤水</w:t>
            </w:r>
          </w:p>
        </w:tc>
        <w:tc>
          <w:tcPr>
            <w:tcW w:w="1080"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原矿</w:t>
            </w:r>
          </w:p>
        </w:tc>
        <w:tc>
          <w:tcPr>
            <w:tcW w:w="1553" w:type="dxa"/>
            <w:shd w:val="clear" w:color="000000" w:fill="FFFFFF"/>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5%</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44AB727C"/>
    <w:rsid w:val="53D629B1"/>
    <w:rsid w:val="547604FD"/>
    <w:rsid w:val="5FCB1E55"/>
    <w:rsid w:val="669A54D2"/>
    <w:rsid w:val="757611F0"/>
    <w:rsid w:val="79CF031C"/>
    <w:rsid w:val="7A2572B1"/>
    <w:rsid w:val="7C0568B0"/>
    <w:rsid w:val="7C4645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Autospacing="1" w:afterAutospacing="1"/>
      <w:jc w:val="left"/>
    </w:pPr>
    <w:rPr>
      <w:rFonts w:ascii="Calibri" w:hAnsi="Calibri"/>
      <w:kern w:val="0"/>
      <w:sz w:val="2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