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cs="Times New Roman"/>
        </w:rPr>
      </w:pPr>
      <w:bookmarkStart w:id="0" w:name="_GoBack"/>
      <w:bookmarkEnd w:id="0"/>
    </w:p>
    <w:p>
      <w:pPr>
        <w:jc w:val="center"/>
        <w:rPr>
          <w:rFonts w:ascii="宋体" w:cs="Times New Roman"/>
        </w:rPr>
      </w:pPr>
    </w:p>
    <w:p>
      <w:pPr>
        <w:jc w:val="center"/>
        <w:rPr>
          <w:rFonts w:ascii="宋体" w:cs="Times New Roman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郑州市城市中小学校幼儿园</w:t>
      </w:r>
    </w:p>
    <w:p>
      <w:pPr>
        <w:jc w:val="center"/>
        <w:rPr>
          <w:rFonts w:ascii="宋体" w:cs="Times New Roman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规划建设管理条例</w:t>
      </w:r>
    </w:p>
    <w:p>
      <w:pPr>
        <w:ind w:firstLine="632" w:firstLineChars="200"/>
        <w:rPr>
          <w:rFonts w:ascii="仿宋_GB2312" w:eastAsia="仿宋_GB2312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632" w:leftChars="200" w:right="632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（2005年8月25日郑州市第十二届人民代表大会常务委员会第十三次会议通过　2005年12月2日河南省第十届人民代表大会常务委员会第二十次会议批准　根据2010年8月27日郑州市第十三届人民代表大会常务委员会第十三次会议通过　2010年9月29日河南省第十一届人民代表大会常务委员会第十七次会议批准的《郑州市人民代表大会常务委员会关于修改部分地方性法规的决定》修正）</w:t>
      </w:r>
    </w:p>
    <w:p>
      <w:pPr>
        <w:ind w:firstLine="632" w:firstLineChars="200"/>
        <w:rPr>
          <w:rFonts w:ascii="仿宋_GB2312" w:eastAsia="仿宋_GB2312" w:cs="Times New Roman"/>
        </w:rPr>
      </w:pP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第一条</w:t>
      </w:r>
      <w:r>
        <w:rPr>
          <w:rFonts w:hint="eastAsia" w:ascii="仿宋_GB2312" w:eastAsia="仿宋_GB2312" w:cs="仿宋_GB2312"/>
        </w:rPr>
        <w:t>　为保证城市中小学校、幼儿园的规划建设与城市发展、人口增长相适应，促进教育事业发展，根据《中华人民共和国教育法》、《中华人民共和国城乡规划法》等有关法律、法规规定，结合本市实际，制定本条例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第二条　</w:t>
      </w:r>
      <w:r>
        <w:rPr>
          <w:rFonts w:hint="eastAsia" w:ascii="仿宋_GB2312" w:hAnsi="仿宋_GB2312" w:eastAsia="仿宋_GB2312" w:cs="仿宋_GB2312"/>
        </w:rPr>
        <w:t>本条</w:t>
      </w:r>
      <w:r>
        <w:rPr>
          <w:rFonts w:hint="eastAsia" w:ascii="仿宋_GB2312" w:eastAsia="仿宋_GB2312" w:cs="仿宋_GB2312"/>
        </w:rPr>
        <w:t>例所称中小学校、幼儿园，是指全日制小学、初中、普通高中、中等职业学校、特殊教育学校及幼儿园。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第三条</w:t>
      </w:r>
      <w:r>
        <w:rPr>
          <w:rFonts w:hint="eastAsia" w:ascii="仿宋_GB2312" w:eastAsia="仿宋_GB2312" w:cs="仿宋_GB2312"/>
        </w:rPr>
        <w:t>　本市市区和县（市）、上街区人民政府所在地城市中小学校、幼儿园的规划和建设，适用本条例。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第四条</w:t>
      </w:r>
      <w:r>
        <w:rPr>
          <w:rFonts w:hint="eastAsia" w:ascii="仿宋_GB2312" w:eastAsia="仿宋_GB2312" w:cs="仿宋_GB2312"/>
        </w:rPr>
        <w:t>　市、县（市）、区人民政府应当将中小学校、幼儿园的规划建设纳入国民经济和社会发展规划及城市总体规划，并组织实施。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第五条</w:t>
      </w:r>
      <w:r>
        <w:rPr>
          <w:rFonts w:hint="eastAsia" w:ascii="仿宋_GB2312" w:eastAsia="仿宋_GB2312" w:cs="仿宋_GB2312"/>
        </w:rPr>
        <w:t>　中小学校、幼儿园规划建设应当坚持统一规划、合理布局、方便就学、配套建设的原则。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第六条</w:t>
      </w:r>
      <w:r>
        <w:rPr>
          <w:rFonts w:hint="eastAsia" w:ascii="仿宋_GB2312" w:eastAsia="仿宋_GB2312" w:cs="仿宋_GB2312"/>
        </w:rPr>
        <w:t>　市、县（市）、区人民政府分级负责中小学校、幼儿园的规划建设。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市、县（市）、上街区城市规划行政主管部门负责城市中小学校、幼儿园的用地规划。教育、发展改革、国土资源、财政、建设、城市管理行政执法等有关部门应在各自职责范围内，共同做好中小学校、幼儿园的规划建设管理工作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第七条</w:t>
      </w:r>
      <w:r>
        <w:rPr>
          <w:rFonts w:hint="eastAsia" w:ascii="仿宋_GB2312" w:eastAsia="仿宋_GB2312" w:cs="仿宋_GB2312"/>
        </w:rPr>
        <w:t>　市、县（市）、上街区教育行政主管部门应当会同城市规划、国土资源、发展改革等有关部门，根据城市总体规划和教育事业发展规划，编制中小学校、幼儿园布局专项规划，由本级人民政府提请同级人民代表大会常务委员会批准后公布实施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中小学校、幼儿园布局专项规划不得擅自变更。确需变更的，应经原审批机关批准。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第八条</w:t>
      </w:r>
      <w:r>
        <w:rPr>
          <w:rFonts w:hint="eastAsia" w:ascii="仿宋_GB2312" w:eastAsia="仿宋_GB2312" w:cs="仿宋_GB2312"/>
        </w:rPr>
        <w:t>　城市规划行政主管部门在编制或审批新区开发、住宅小区规划和城市旧区改造方案时，必须规划预留中小学校、幼儿园建设用地。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城市规划预留的中小学校、幼儿园建设用地，城市规划、国土资源行政主管部门应当核定用地位置和界线。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第九条</w:t>
      </w:r>
      <w:r>
        <w:rPr>
          <w:rFonts w:hint="eastAsia" w:ascii="仿宋_GB2312" w:eastAsia="仿宋_GB2312" w:cs="仿宋_GB2312"/>
        </w:rPr>
        <w:t>　城市规划预留中小学校、幼儿园建设用地，应当符合下列标准：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（一）每二万人口区域内预留一所三十六个班规模的中学建设用地；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（二）每一万人口区域内预留一所二十四个班规模的小学建设用地；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（三）每五千人口区域内预留一所六个班规模的幼儿园建设用地。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城市规划预留中小学校、幼儿园建设用地的面积，应当符合国家有关学校建设标准的规定。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第十条</w:t>
      </w:r>
      <w:r>
        <w:rPr>
          <w:rFonts w:hint="eastAsia" w:ascii="仿宋_GB2312" w:eastAsia="仿宋_GB2312" w:cs="仿宋_GB2312"/>
        </w:rPr>
        <w:t>　中小学校、幼儿园规划用地，任何单位和个人不得侵占或擅自改作他用。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任何单位和个人不得在中小学校、幼儿园规划用地上建设与教育无关的永久性建筑物、构筑物和其他设施。确需临时使用中小学校、幼儿园规划用地的，应当征得教育行政主管部门的同意，并依法办理有关手续。中小学校、幼儿园建设需要用地时，临时建筑物、构筑物和其他设施必须限期拆除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临时使用中小学校、幼儿园规划用地一般不得超过二年。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第十一条</w:t>
      </w:r>
      <w:r>
        <w:rPr>
          <w:rFonts w:hint="eastAsia" w:ascii="仿宋_GB2312" w:eastAsia="仿宋_GB2312" w:cs="仿宋_GB2312"/>
        </w:rPr>
        <w:t>　中小学校、幼儿园用地周边地区的规划建设，应当符合国家有关规定，不得妨碍学校的正常教学活动。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第十二条</w:t>
      </w:r>
      <w:r>
        <w:rPr>
          <w:rFonts w:hint="eastAsia" w:ascii="仿宋_GB2312" w:eastAsia="仿宋_GB2312" w:cs="仿宋_GB2312"/>
        </w:rPr>
        <w:t>　城市新区开发、旧城区成片改造或城市零星开发时，市、县（市）、区人民政府应当采取多种措施配套新建或改建、扩建中小学校。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第十三条</w:t>
      </w:r>
      <w:r>
        <w:rPr>
          <w:rFonts w:hint="eastAsia" w:ascii="仿宋_GB2312" w:eastAsia="仿宋_GB2312" w:cs="仿宋_GB2312"/>
        </w:rPr>
        <w:t>　鼓励开发建设单位配套建设中小学校、幼儿园。开发建设单位配套建设的中小学校，可以移交政府举办，也可以自行举办。具体办法由市人民政府制定。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第十四条</w:t>
      </w:r>
      <w:r>
        <w:rPr>
          <w:rFonts w:hint="eastAsia" w:ascii="仿宋_GB2312" w:eastAsia="仿宋_GB2312" w:cs="仿宋_GB2312"/>
        </w:rPr>
        <w:t>　政府举办的中小学校的建设资金，由市、县（市）、区人民政府列入财政预算，予以保证。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市、县（市）、上街区人民政府可以从土地收益中提取一定比例的资金，专户储存，全额用于中小学校建设，任何单位和个人不得侵占、截留或者挪用。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市、县（市）、区人民政府应当采取措施，鼓励境内外的组织和个人捐资建设中小学校、幼儿园，并按照国家有关规定给予优惠政策。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第十五条</w:t>
      </w:r>
      <w:r>
        <w:rPr>
          <w:rFonts w:hint="eastAsia" w:ascii="仿宋_GB2312" w:eastAsia="仿宋_GB2312" w:cs="仿宋_GB2312"/>
        </w:rPr>
        <w:t>　城市新区开发、旧城区成片改造或城市零星开发时，中小学校、幼儿园建设应当符合中小学校、幼儿园布局专项规划，并与开发或改造工程同时设计、同时施工、同时交付使用。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中小学校、幼儿园建设，应当符合国家规定的设计规范和建设标准。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第十六条</w:t>
      </w:r>
      <w:r>
        <w:rPr>
          <w:rFonts w:hint="eastAsia" w:ascii="仿宋_GB2312" w:eastAsia="仿宋_GB2312" w:cs="仿宋_GB2312"/>
        </w:rPr>
        <w:t>　因城市基础设施建设、国家重点工程建设需要拆迁或者占用中小学校、幼儿园校舍、场地的，应经教育行政主管部门同意，报同级人民政府批准，并按照中小学校、幼儿园布局专项规划的要求，就地、就近予以调整或重建。调整或重建后的用地面积不得少于原有用地面积，学校的存量资产不得减少。拆迁和重建工作不得影响或中断学校的正常教学活动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第十七条</w:t>
      </w:r>
      <w:r>
        <w:rPr>
          <w:rFonts w:hint="eastAsia" w:ascii="仿宋_GB2312" w:eastAsia="仿宋_GB2312" w:cs="仿宋_GB2312"/>
        </w:rPr>
        <w:t>　中小学校、幼儿园的土地、校舍不得改变用途，不得转为经营性资产。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中小学校勤工俭学和教职工住宅、校办企业不得占用教学用房和学生活动场地。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违反前两款规定的，教育行政主管部门应当责令限期改正。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第十八条</w:t>
      </w:r>
      <w:r>
        <w:rPr>
          <w:rFonts w:hint="eastAsia" w:ascii="仿宋_GB2312" w:eastAsia="仿宋_GB2312" w:cs="仿宋_GB2312"/>
        </w:rPr>
        <w:t>　中小学校、幼儿园现有校舍的改建、扩建或者部分拆除，须经教育行政主管部门同意，并依法办理有关规划、建设手续。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中小学校停办、合并、分立、置换、搬迁，需要对用地进行调整的，由市或县（市）、上街区教育行政主管部门会同城市规划、国土资源、发展改革、财政等有关部门，根据优化教育资源配置的原则提出意见，报本级人民政府批准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仿宋_GB2312" w:cs="仿宋_GB2312"/>
        </w:rPr>
        <w:t>中小学校、幼儿园的土地、校舍通过置换、交换等方式进行调整的，应当保证学校的存量资产不得减少。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第十九条</w:t>
      </w:r>
      <w:r>
        <w:rPr>
          <w:rFonts w:hint="eastAsia" w:ascii="仿宋_GB2312" w:eastAsia="仿宋_GB2312" w:cs="仿宋_GB2312"/>
        </w:rPr>
        <w:t>　擅自变更经批准的中小学校、幼儿园布局专项规划的，由市或县（市）、区人民政府责令限期改正，并依法对有关责任人员给予行政处分。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第二十条</w:t>
      </w:r>
      <w:r>
        <w:rPr>
          <w:rFonts w:hint="eastAsia" w:ascii="仿宋_GB2312" w:eastAsia="仿宋_GB2312" w:cs="仿宋_GB2312"/>
        </w:rPr>
        <w:t>　侵占中小学校、幼儿园规划用地或擅自改作他用的，由城市规划、国土资源部门或城市管理行政执法机关按照职责分工，责令限期改正，并依照有关法律、法规的规定处罚。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第二十一条</w:t>
      </w:r>
      <w:r>
        <w:rPr>
          <w:rFonts w:hint="eastAsia" w:ascii="仿宋_GB2312" w:eastAsia="仿宋_GB2312" w:cs="仿宋_GB2312"/>
        </w:rPr>
        <w:t>　侵占、截留或者挪用中小学校建设资金的，由财政或审计部门依照有关法律、法规规定责令改正，收回资金，并建议有关部门或单位对主管人员和直接责任人员给予行政处分；构成犯罪的，依法追究刑事责任。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第二十二条</w:t>
      </w:r>
      <w:r>
        <w:rPr>
          <w:rFonts w:hint="eastAsia" w:ascii="仿宋_GB2312" w:eastAsia="仿宋_GB2312" w:cs="仿宋_GB2312"/>
        </w:rPr>
        <w:t>　违反本条例规定，擅自批准或同意他人占用中小学校、幼儿园教学用地或教学用房，改变其土地、校舍用途或将其转为经营性资产的，由有关部门或单位对主管人员和直接责任人员给予行政处分。</w:t>
      </w:r>
    </w:p>
    <w:p>
      <w:pPr>
        <w:ind w:firstLine="632" w:firstLineChars="200"/>
        <w:rPr>
          <w:rFonts w:ascii="仿宋_GB2312" w:eastAsia="仿宋_GB2312" w:cs="Times New Roman"/>
        </w:rPr>
      </w:pPr>
      <w:r>
        <w:rPr>
          <w:rFonts w:hint="eastAsia" w:ascii="仿宋_GB2312" w:eastAsia="黑体" w:cs="黑体"/>
        </w:rPr>
        <w:t>第二十三条</w:t>
      </w:r>
      <w:r>
        <w:rPr>
          <w:rFonts w:hint="eastAsia" w:ascii="仿宋_GB2312" w:eastAsia="仿宋_GB2312" w:cs="仿宋_GB2312"/>
        </w:rPr>
        <w:t>　本条例自</w:t>
      </w:r>
      <w:r>
        <w:rPr>
          <w:rFonts w:ascii="仿宋_GB2312" w:eastAsia="仿宋_GB2312" w:cs="仿宋_GB2312"/>
        </w:rPr>
        <w:t>2006</w:t>
      </w:r>
      <w:r>
        <w:rPr>
          <w:rFonts w:hint="eastAsia" w:ascii="仿宋_GB2312" w:eastAsia="仿宋_GB2312" w:cs="仿宋_GB2312"/>
        </w:rPr>
        <w:t>年</w:t>
      </w:r>
      <w:r>
        <w:rPr>
          <w:rFonts w:ascii="仿宋_GB2312" w:eastAsia="仿宋_GB2312" w:cs="仿宋_GB2312"/>
        </w:rPr>
        <w:t>3</w:t>
      </w:r>
      <w:r>
        <w:rPr>
          <w:rFonts w:hint="eastAsia" w:ascii="仿宋_GB2312" w:eastAsia="仿宋_GB2312" w:cs="仿宋_GB2312"/>
        </w:rPr>
        <w:t>月</w:t>
      </w:r>
      <w:r>
        <w:rPr>
          <w:rFonts w:ascii="仿宋_GB2312" w:eastAsia="仿宋_GB2312" w:cs="仿宋_GB2312"/>
        </w:rPr>
        <w:t>1</w:t>
      </w:r>
      <w:r>
        <w:rPr>
          <w:rFonts w:hint="eastAsia" w:ascii="仿宋_GB2312" w:eastAsia="仿宋_GB2312" w:cs="仿宋_GB2312"/>
        </w:rPr>
        <w:t>日起施行。</w:t>
      </w:r>
    </w:p>
    <w:p>
      <w:pPr>
        <w:ind w:firstLine="632" w:firstLineChars="200"/>
        <w:rPr>
          <w:rFonts w:ascii="仿宋_GB2312" w:eastAsia="仿宋_GB2312" w:cs="仿宋_GB2312"/>
        </w:rPr>
      </w:pPr>
      <w:r>
        <w:rPr>
          <w:rFonts w:ascii="仿宋_GB2312" w:eastAsia="仿宋_GB2312" w:cs="仿宋_GB2312"/>
        </w:rPr>
        <w:t xml:space="preserve"> </w:t>
      </w:r>
    </w:p>
    <w:p>
      <w:pPr>
        <w:rPr>
          <w:rFonts w:cs="Times New Roman"/>
        </w:rPr>
      </w:pPr>
    </w:p>
    <w:sectPr>
      <w:footerReference r:id="rId3" w:type="default"/>
      <w:pgSz w:w="11906" w:h="16838"/>
      <w:pgMar w:top="2098" w:right="1474" w:bottom="1984" w:left="1587" w:header="851" w:footer="1587" w:gutter="0"/>
      <w:cols w:space="720" w:num="1"/>
      <w:rtlGutter w:val="0"/>
      <w:docGrid w:type="linesAndChars" w:linePitch="574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="1701" w:wrap="around" w:vAnchor="text" w:hAnchor="margin" w:xAlign="outside" w:y="1"/>
      <w:jc w:val="center"/>
      <w:rPr>
        <w:rStyle w:val="5"/>
        <w:rFonts w:ascii="宋体" w:cs="宋体"/>
        <w:sz w:val="28"/>
        <w:szCs w:val="28"/>
      </w:rPr>
    </w:pPr>
    <w:r>
      <w:rPr>
        <w:rStyle w:val="5"/>
        <w:rFonts w:ascii="宋体" w:hAnsi="宋体" w:cs="宋体"/>
        <w:sz w:val="28"/>
        <w:szCs w:val="28"/>
      </w:rPr>
      <w:t xml:space="preserve">— </w:t>
    </w:r>
    <w:r>
      <w:rPr>
        <w:rFonts w:ascii="宋体" w:hAnsi="宋体" w:cs="宋体"/>
        <w:sz w:val="28"/>
        <w:szCs w:val="28"/>
      </w:rPr>
      <w:fldChar w:fldCharType="begin"/>
    </w:r>
    <w:r>
      <w:rPr>
        <w:rStyle w:val="5"/>
        <w:rFonts w:ascii="宋体" w:hAnsi="宋体" w:cs="宋体"/>
        <w:sz w:val="28"/>
        <w:szCs w:val="28"/>
      </w:rPr>
      <w:instrText xml:space="preserve">PAGE  </w:instrText>
    </w:r>
    <w:r>
      <w:rPr>
        <w:rFonts w:ascii="宋体" w:hAnsi="宋体" w:cs="宋体"/>
        <w:sz w:val="28"/>
        <w:szCs w:val="28"/>
      </w:rPr>
      <w:fldChar w:fldCharType="separate"/>
    </w:r>
    <w:r>
      <w:rPr>
        <w:rStyle w:val="5"/>
        <w:rFonts w:ascii="宋体" w:hAnsi="宋体" w:cs="宋体"/>
        <w:sz w:val="28"/>
        <w:szCs w:val="28"/>
      </w:rPr>
      <w:t>2</w:t>
    </w:r>
    <w:r>
      <w:rPr>
        <w:rFonts w:ascii="宋体" w:hAnsi="宋体" w:cs="宋体"/>
        <w:sz w:val="28"/>
        <w:szCs w:val="28"/>
      </w:rPr>
      <w:fldChar w:fldCharType="end"/>
    </w:r>
    <w:r>
      <w:rPr>
        <w:rStyle w:val="5"/>
        <w:rFonts w:ascii="宋体" w:hAnsi="宋体" w:cs="宋体"/>
        <w:sz w:val="28"/>
        <w:szCs w:val="28"/>
      </w:rPr>
      <w:t xml:space="preserve"> —</w:t>
    </w:r>
  </w:p>
  <w:p>
    <w:pPr>
      <w:pStyle w:val="2"/>
      <w:ind w:right="360" w:firstLine="360"/>
      <w:rPr>
        <w:rFonts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1"/>
  <w:bordersDoNotSurroundFooter w:val="1"/>
  <w:documentProtection w:enforcement="0"/>
  <w:defaultTabStop w:val="420"/>
  <w:hyphenationZone w:val="360"/>
  <w:doNotHyphenateCaps/>
  <w:drawingGridHorizontalSpacing w:val="158"/>
  <w:drawingGridVerticalSpacing w:val="287"/>
  <w:displayHorizontalDrawingGridEvery w:val="2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549E2"/>
    <w:rsid w:val="00016541"/>
    <w:rsid w:val="002B17C2"/>
    <w:rsid w:val="00601BE9"/>
    <w:rsid w:val="00B11642"/>
    <w:rsid w:val="00B36554"/>
    <w:rsid w:val="1FFE384C"/>
    <w:rsid w:val="21B549E2"/>
    <w:rsid w:val="367E0260"/>
    <w:rsid w:val="40D063F4"/>
    <w:rsid w:val="5695332B"/>
    <w:rsid w:val="5D05223D"/>
    <w:rsid w:val="7724258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page number"/>
    <w:basedOn w:val="4"/>
    <w:qFormat/>
    <w:uiPriority w:val="99"/>
  </w:style>
  <w:style w:type="character" w:customStyle="1" w:styleId="7">
    <w:name w:val="Header Char"/>
    <w:basedOn w:val="4"/>
    <w:link w:val="3"/>
    <w:semiHidden/>
    <w:qFormat/>
    <w:uiPriority w:val="99"/>
    <w:rPr>
      <w:rFonts w:cs="Calibri"/>
      <w:sz w:val="18"/>
      <w:szCs w:val="18"/>
    </w:rPr>
  </w:style>
  <w:style w:type="character" w:customStyle="1" w:styleId="8">
    <w:name w:val="Footer Char"/>
    <w:basedOn w:val="4"/>
    <w:link w:val="2"/>
    <w:semiHidden/>
    <w:qFormat/>
    <w:uiPriority w:val="99"/>
    <w:rPr>
      <w:rFonts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6</Pages>
  <Words>386</Words>
  <Characters>2202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2016-10-14T02:02:00Z</dcterms:created>
  <dc:creator>Administrator</dc:creator>
  <cp:lastModifiedBy>lenovo</cp:lastModifiedBy>
  <dcterms:modified xsi:type="dcterms:W3CDTF">2017-01-12T00:39:15Z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