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宋体" w:eastAsia="宋体" w:cs="宋体" w:hint="eastAsia"/>
          <w:b w:val="0"/>
          <w:bCs w:val="0"/>
          <w:color w:val="000000"/>
          <w:spacing w:val="-6"/>
          <w:sz w:val="44"/>
          <w:szCs w:val="44"/>
          <w:lang w:val="en-US" w:eastAsia="zh-CN"/>
        </w:rPr>
      </w:pPr>
      <w:r>
        <w:rPr>
          <w:rFonts w:ascii="宋体" w:eastAsia="宋体" w:cs="宋体" w:hint="eastAsia"/>
          <w:b w:val="0"/>
          <w:bCs w:val="0"/>
          <w:color w:val="000000"/>
          <w:spacing w:val="-6"/>
          <w:sz w:val="44"/>
          <w:szCs w:val="44"/>
          <w:lang w:val="en-US" w:eastAsia="zh-CN"/>
        </w:rPr>
        <w:t>嘉兴市人民代表大会常务委员会关于修改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宋体" w:eastAsia="宋体" w:cs="宋体" w:hint="eastAsia"/>
          <w:b w:val="0"/>
          <w:bCs w:val="0"/>
          <w:color w:val="000000"/>
          <w:spacing w:val="-6"/>
          <w:sz w:val="44"/>
          <w:szCs w:val="44"/>
          <w:lang w:val="en-US" w:eastAsia="zh-CN"/>
        </w:rPr>
      </w:pPr>
      <w:r>
        <w:rPr>
          <w:rFonts w:ascii="宋体" w:eastAsia="宋体" w:cs="宋体" w:hint="eastAsia"/>
          <w:b w:val="0"/>
          <w:bCs w:val="0"/>
          <w:color w:val="000000"/>
          <w:spacing w:val="-6"/>
          <w:sz w:val="44"/>
          <w:szCs w:val="44"/>
          <w:lang w:val="en-US" w:eastAsia="zh-CN"/>
        </w:rPr>
        <w:t>《嘉兴市大运河世界文化遗产保护条例》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宋体" w:eastAsia="宋体" w:cs="宋体"/>
          <w:b w:val="0"/>
          <w:bCs w:val="0"/>
          <w:color w:val="000000"/>
          <w:spacing w:val="-6"/>
          <w:sz w:val="44"/>
          <w:szCs w:val="44"/>
          <w:lang w:val="en-US" w:eastAsia="zh-CN"/>
        </w:rPr>
      </w:pPr>
      <w:r>
        <w:rPr>
          <w:rFonts w:ascii="宋体" w:eastAsia="宋体" w:cs="宋体" w:hint="eastAsia"/>
          <w:b w:val="0"/>
          <w:bCs w:val="0"/>
          <w:color w:val="000000"/>
          <w:spacing w:val="-6"/>
          <w:sz w:val="44"/>
          <w:szCs w:val="44"/>
          <w:lang w:val="en-US" w:eastAsia="zh-CN"/>
        </w:rPr>
        <w:t>等三件地方性法规的决定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adjustRightInd w:val="0"/>
        <w:snapToGrid/>
        <w:spacing w:line="560" w:lineRule="exact"/>
        <w:ind w:leftChars="200" w:left="628" w:rightChars="200" w:right="628" w:firstLine="0"/>
        <w:rPr>
          <w:rFonts w:ascii="楷体_GB2312" w:eastAsia="楷体_GB2312" w:cs="宋体" w:hint="eastAsia"/>
          <w:szCs w:val="32"/>
          <w:shd w:val="clear" w:color="auto" w:fill="auto"/>
        </w:rPr>
      </w:pPr>
      <w:r>
        <w:rPr>
          <w:rFonts w:ascii="楷体_GB2312" w:eastAsia="楷体_GB2312" w:cs="宋体" w:hint="eastAsia"/>
          <w:szCs w:val="32"/>
          <w:shd w:val="clear" w:color="auto" w:fill="auto"/>
        </w:rPr>
        <w:t>（20</w:t>
      </w:r>
      <w:r>
        <w:rPr>
          <w:rFonts w:ascii="楷体_GB2312" w:eastAsia="楷体_GB2312" w:cs="宋体" w:hint="eastAsia"/>
          <w:szCs w:val="32"/>
          <w:shd w:val="clear" w:color="auto" w:fill="auto"/>
          <w:lang w:val="en-US" w:eastAsia="zh-CN"/>
        </w:rPr>
        <w:t>21</w:t>
      </w:r>
      <w:r>
        <w:rPr>
          <w:rFonts w:ascii="楷体_GB2312" w:eastAsia="楷体_GB2312" w:cs="宋体" w:hint="eastAsia"/>
          <w:szCs w:val="32"/>
          <w:shd w:val="clear" w:color="auto" w:fill="auto"/>
        </w:rPr>
        <w:t>年</w:t>
      </w:r>
      <w:r>
        <w:rPr>
          <w:rFonts w:ascii="楷体_GB2312" w:eastAsia="楷体_GB2312" w:cs="宋体" w:hint="eastAsia"/>
          <w:szCs w:val="32"/>
          <w:shd w:val="clear" w:color="auto" w:fill="auto"/>
          <w:lang w:val="en-US" w:eastAsia="zh-CN"/>
        </w:rPr>
        <w:t>8</w:t>
      </w:r>
      <w:r>
        <w:rPr>
          <w:rFonts w:ascii="楷体_GB2312" w:eastAsia="楷体_GB2312" w:cs="宋体" w:hint="eastAsia"/>
          <w:szCs w:val="32"/>
          <w:shd w:val="clear" w:color="auto" w:fill="auto"/>
        </w:rPr>
        <w:t>月</w:t>
      </w:r>
      <w:r>
        <w:rPr>
          <w:rFonts w:ascii="楷体_GB2312" w:eastAsia="楷体_GB2312" w:cs="宋体" w:hint="eastAsia"/>
          <w:szCs w:val="32"/>
          <w:shd w:val="clear" w:color="auto" w:fill="auto"/>
          <w:lang w:val="en-US" w:eastAsia="zh-CN"/>
        </w:rPr>
        <w:t>19</w:t>
      </w:r>
      <w:r>
        <w:rPr>
          <w:rFonts w:ascii="楷体_GB2312" w:eastAsia="楷体_GB2312" w:cs="宋体" w:hint="eastAsia"/>
          <w:szCs w:val="32"/>
          <w:shd w:val="clear" w:color="auto" w:fill="auto"/>
        </w:rPr>
        <w:t>日嘉兴市第八届人民代表大会常务委员会第</w:t>
      </w:r>
      <w:r>
        <w:rPr>
          <w:rFonts w:ascii="楷体_GB2312" w:eastAsia="楷体_GB2312" w:cs="宋体" w:hint="eastAsia"/>
          <w:szCs w:val="32"/>
          <w:shd w:val="clear" w:color="auto" w:fill="auto"/>
          <w:lang w:val="en-US" w:eastAsia="zh-CN"/>
        </w:rPr>
        <w:t>三十六次</w:t>
      </w:r>
      <w:r>
        <w:rPr>
          <w:rFonts w:ascii="楷体_GB2312" w:eastAsia="楷体_GB2312" w:cs="宋体" w:hint="eastAsia"/>
          <w:szCs w:val="32"/>
          <w:shd w:val="clear" w:color="auto" w:fill="auto"/>
        </w:rPr>
        <w:t>会议通过</w:t>
      </w:r>
      <w:r>
        <w:rPr>
          <w:rFonts w:ascii="楷体_GB2312" w:eastAsia="楷体_GB2312" w:cs="宋体" w:hint="eastAsia"/>
          <w:szCs w:val="32"/>
          <w:shd w:val="clear" w:color="auto" w:fill="auto"/>
          <w:lang w:val="en-US" w:eastAsia="zh-CN"/>
        </w:rPr>
        <w:t xml:space="preserve">  2021年9月29日浙江省第十三届</w:t>
      </w:r>
      <w:bookmarkStart w:id="0" w:name="_GoBack"/>
      <w:bookmarkEnd w:id="0"/>
      <w:r>
        <w:rPr>
          <w:rFonts w:ascii="楷体_GB2312" w:eastAsia="楷体_GB2312" w:cs="宋体" w:hint="eastAsia"/>
          <w:szCs w:val="32"/>
          <w:shd w:val="clear" w:color="auto" w:fill="auto"/>
          <w:lang w:val="en-US" w:eastAsia="zh-CN"/>
        </w:rPr>
        <w:t>人民代表大会常务委员会第三十一次会议</w:t>
      </w:r>
      <w:r>
        <w:rPr>
          <w:rFonts w:ascii="楷体_GB2312" w:eastAsia="楷体_GB2312" w:cs="宋体" w:hint="eastAsia"/>
          <w:szCs w:val="32"/>
          <w:shd w:val="clear" w:color="auto" w:fill="auto"/>
        </w:rPr>
        <w:t>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嘉兴市第八届人民代表大会常务委员会第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>三十六</w:t>
      </w:r>
      <w:r>
        <w:rPr>
          <w:rFonts w:ascii="仿宋_GB2312" w:eastAsia="仿宋_GB2312" w:cs="仿宋_GB2312" w:hint="eastAsia"/>
          <w:sz w:val="32"/>
          <w:szCs w:val="32"/>
        </w:rPr>
        <w:t>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方正黑体_GBK" w:eastAsia="方正黑体_GBK" w:cs="方正黑体_GBK" w:hint="eastAsia"/>
          <w:sz w:val="32"/>
          <w:szCs w:val="32"/>
          <w:lang w:val="en-US" w:eastAsia="zh-CN"/>
        </w:rPr>
      </w:pPr>
      <w:r>
        <w:rPr>
          <w:rFonts w:ascii="方正黑体_GBK" w:eastAsia="方正黑体_GBK" w:cs="方正黑体_GBK" w:hint="eastAsia"/>
          <w:sz w:val="32"/>
          <w:szCs w:val="32"/>
          <w:lang w:eastAsia="zh-CN"/>
        </w:rPr>
        <w:t>一、对《</w:t>
      </w:r>
      <w:r>
        <w:rPr>
          <w:rFonts w:ascii="方正黑体_GBK" w:eastAsia="方正黑体_GBK" w:cs="方正黑体_GBK" w:hint="eastAsia"/>
          <w:sz w:val="32"/>
          <w:szCs w:val="32"/>
        </w:rPr>
        <w:t>嘉兴市</w:t>
      </w:r>
      <w:r>
        <w:rPr>
          <w:rFonts w:ascii="方正黑体_GBK" w:eastAsia="方正黑体_GBK" w:cs="方正黑体_GBK" w:hint="eastAsia"/>
          <w:sz w:val="32"/>
          <w:szCs w:val="32"/>
          <w:lang w:eastAsia="zh-CN"/>
        </w:rPr>
        <w:t>大运河世界文化遗产保护</w:t>
      </w:r>
      <w:r>
        <w:rPr>
          <w:rFonts w:ascii="方正黑体_GBK" w:eastAsia="方正黑体_GBK" w:cs="方正黑体_GBK" w:hint="eastAsia"/>
          <w:sz w:val="32"/>
          <w:szCs w:val="32"/>
        </w:rPr>
        <w:t>条例</w:t>
      </w:r>
      <w:r>
        <w:rPr>
          <w:rFonts w:ascii="方正黑体_GBK" w:eastAsia="方正黑体_GBK" w:cs="方正黑体_GBK" w:hint="eastAsia"/>
          <w:sz w:val="32"/>
          <w:szCs w:val="32"/>
          <w:lang w:eastAsia="zh-CN"/>
        </w:rPr>
        <w:t>》作出修改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  <w:lang w:val="en-US" w:eastAsia="zh-CN"/>
        </w:rPr>
      </w:pP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>将第十八条修改为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  <w:t>：“违反本条例第十五条第三项规定，损毁防护、警示设施的，由文物主管部门责令改正，给予警告，可以并处五千元以上五万元以下罚款。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方正黑体_GBK" w:eastAsia="方正黑体_GBK" w:cs="方正黑体_GBK" w:hint="eastAsia"/>
          <w:sz w:val="32"/>
          <w:szCs w:val="32"/>
          <w:lang w:val="en-US" w:eastAsia="zh-CN"/>
        </w:rPr>
      </w:pPr>
      <w:r>
        <w:rPr>
          <w:rFonts w:ascii="方正黑体_GBK" w:eastAsia="方正黑体_GBK" w:cs="方正黑体_GBK" w:hint="eastAsia"/>
          <w:sz w:val="32"/>
          <w:szCs w:val="32"/>
          <w:lang w:eastAsia="zh-CN"/>
        </w:rPr>
        <w:t>二、对《</w:t>
      </w:r>
      <w:r>
        <w:rPr>
          <w:rFonts w:ascii="方正黑体_GBK" w:eastAsia="方正黑体_GBK" w:cs="方正黑体_GBK" w:hint="eastAsia"/>
          <w:sz w:val="32"/>
          <w:szCs w:val="32"/>
        </w:rPr>
        <w:t>嘉兴市</w:t>
      </w:r>
      <w:r>
        <w:rPr>
          <w:rFonts w:ascii="方正黑体_GBK" w:eastAsia="方正黑体_GBK" w:cs="方正黑体_GBK" w:hint="eastAsia"/>
          <w:sz w:val="32"/>
          <w:szCs w:val="32"/>
          <w:lang w:eastAsia="zh-CN"/>
        </w:rPr>
        <w:t>养犬管理</w:t>
      </w:r>
      <w:r>
        <w:rPr>
          <w:rFonts w:ascii="方正黑体_GBK" w:eastAsia="方正黑体_GBK" w:cs="方正黑体_GBK" w:hint="eastAsia"/>
          <w:sz w:val="32"/>
          <w:szCs w:val="32"/>
        </w:rPr>
        <w:t>条例</w:t>
      </w:r>
      <w:r>
        <w:rPr>
          <w:rFonts w:ascii="方正黑体_GBK" w:eastAsia="方正黑体_GBK" w:cs="方正黑体_GBK" w:hint="eastAsia"/>
          <w:sz w:val="32"/>
          <w:szCs w:val="32"/>
          <w:lang w:eastAsia="zh-CN"/>
        </w:rPr>
        <w:t>》作出修改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b w:val="0"/>
          <w:bCs w:val="0"/>
          <w:sz w:val="32"/>
          <w:szCs w:val="32"/>
          <w:u w:val="none"/>
          <w:lang w:eastAsia="zh-CN"/>
          <w:highlight w:val="auto"/>
        </w:rPr>
      </w:pP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>（一）将第三条第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  <w:t>二款修改为：“公安机关负责重点管理区内的养犬准养登记以及相关行政处罚工作。公安机关可以委托综合行政执法部门实施养犬准养登记</w:t>
      </w:r>
      <w:r>
        <w:rPr>
          <w:rFonts w:ascii="仿宋_GB2312" w:eastAsia="仿宋_GB2312" w:cs="仿宋_GB2312" w:hint="eastAsia"/>
          <w:b w:val="0"/>
          <w:bCs w:val="0"/>
          <w:sz w:val="32"/>
          <w:szCs w:val="32"/>
          <w:u w:val="none"/>
          <w:lang w:val="en-US" w:eastAsia="zh-CN"/>
          <w:highlight w:val="auto"/>
        </w:rPr>
        <w:t>以及相关行政处罚工作。</w:t>
      </w:r>
      <w:r>
        <w:rPr>
          <w:rFonts w:ascii="仿宋_GB2312" w:eastAsia="仿宋_GB2312" w:cs="仿宋_GB2312" w:hint="eastAsia"/>
          <w:b w:val="0"/>
          <w:bCs w:val="0"/>
          <w:sz w:val="32"/>
          <w:szCs w:val="32"/>
          <w:u w:val="none"/>
          <w:lang w:eastAsia="zh-CN"/>
          <w:highlight w:val="auto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cs="仿宋_GB2312" w:hint="eastAsia"/>
          <w:sz w:val="32"/>
          <w:szCs w:val="32"/>
          <w:lang w:eastAsia="zh-CN"/>
        </w:rPr>
        <w:t>（二）删去第十九条。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方正黑体_GBK" w:eastAsia="方正黑体_GBK" w:cs="方正黑体_GBK" w:hint="eastAsia"/>
          <w:sz w:val="32"/>
          <w:szCs w:val="32"/>
          <w:lang w:val="en-US" w:eastAsia="zh-CN"/>
        </w:rPr>
      </w:pPr>
      <w:r>
        <w:rPr>
          <w:rFonts w:ascii="方正黑体_GBK" w:eastAsia="方正黑体_GBK" w:cs="方正黑体_GBK" w:hint="eastAsia"/>
          <w:sz w:val="32"/>
          <w:szCs w:val="32"/>
          <w:lang w:eastAsia="zh-CN"/>
        </w:rPr>
        <w:t>三、对《</w:t>
      </w:r>
      <w:r>
        <w:rPr>
          <w:rFonts w:ascii="方正黑体_GBK" w:eastAsia="方正黑体_GBK" w:cs="方正黑体_GBK" w:hint="eastAsia"/>
          <w:sz w:val="32"/>
          <w:szCs w:val="32"/>
        </w:rPr>
        <w:t>嘉兴市</w:t>
      </w:r>
      <w:r>
        <w:rPr>
          <w:rFonts w:ascii="方正黑体_GBK" w:eastAsia="方正黑体_GBK" w:cs="方正黑体_GBK" w:hint="eastAsia"/>
          <w:sz w:val="32"/>
          <w:szCs w:val="32"/>
          <w:lang w:eastAsia="zh-CN"/>
        </w:rPr>
        <w:t>生活垃圾分类管理</w:t>
      </w:r>
      <w:r>
        <w:rPr>
          <w:rFonts w:ascii="方正黑体_GBK" w:eastAsia="方正黑体_GBK" w:cs="方正黑体_GBK" w:hint="eastAsia"/>
          <w:sz w:val="32"/>
          <w:szCs w:val="32"/>
        </w:rPr>
        <w:t>条例</w:t>
      </w:r>
      <w:r>
        <w:rPr>
          <w:rFonts w:ascii="方正黑体_GBK" w:eastAsia="方正黑体_GBK" w:cs="方正黑体_GBK" w:hint="eastAsia"/>
          <w:sz w:val="32"/>
          <w:szCs w:val="32"/>
          <w:lang w:eastAsia="zh-CN"/>
        </w:rPr>
        <w:t>》作出修改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</w:pP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>（一）将第二十七条修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  <w:t>改为：“违反本条例第十二条规定，投放生活垃圾未分类的，依法由综合行政执法部门责令改正；情节严重的，对单位处五万元以上五十万元以下罚款，对个人处二百元以上二千元以下罚款。”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</w:pP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>（二）将第二十八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  <w:t>条修改为：“违反本条例第十五条第一项规定，将已分类的生活垃圾混合收集或者运输的，依法由综合行政执法部门责令改正，处一万元以上五万元以下罚款；情节严重的，处五万元以上五十万元以下罚款。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</w:pPr>
      <w:r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  <w:t>“违反本条例第十五条第三项规定，未按照规定时间在城镇居住小区收集生活垃圾的，依法由综合行政执法部门责令改正，处五千元以上五万元以下罚款；情节严重的，处五万元以上五十万元以下罚款。”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</w:pP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>（三）删去第二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  <w:t>十九条。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  <w:lang w:val="en-US" w:eastAsia="zh-CN"/>
        </w:rPr>
      </w:pPr>
      <w:r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  <w:t>（四）将第三十条改为第二十九条，修改为：“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>违反本条例第二十一条第一款规定，旅游业经营者主动提供一次性用品的，由文化和旅游部门责令改正，可以处二百元以上二千元以下</w:t>
      </w:r>
      <w:r>
        <w:rPr>
          <w:rFonts w:ascii="仿宋_GB2312" w:eastAsia="仿宋_GB2312" w:cs="仿宋_GB2312" w:hint="eastAsia"/>
          <w:sz w:val="32"/>
          <w:szCs w:val="32"/>
          <w:lang w:val="en-US" w:eastAsia="zh-CN"/>
          <w:highlight w:val="auto"/>
        </w:rPr>
        <w:t>罚款。”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  <w:rPr>
          <w:rFonts w:ascii="仿宋_GB2312" w:eastAsia="仿宋_GB2312" w:cs="仿宋_GB2312" w:hint="eastAsia"/>
          <w:sz w:val="32"/>
          <w:szCs w:val="32"/>
          <w:lang w:val="en-US" w:eastAsia="zh-CN"/>
        </w:rPr>
      </w:pPr>
      <w:r>
        <w:rPr>
          <w:rFonts w:ascii="仿宋_GB2312" w:eastAsia="仿宋_GB2312" w:cs="仿宋_GB2312" w:hint="eastAsia"/>
          <w:sz w:val="32"/>
          <w:szCs w:val="32"/>
          <w:lang w:val="en-US" w:eastAsia="zh-CN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Chars="200" w:firstLine="628"/>
        <w:jc w:val="both"/>
        <w:textAlignment w:val="auto"/>
      </w:pPr>
      <w:r>
        <w:rPr>
          <w:rFonts w:ascii="仿宋_GB2312" w:eastAsia="仿宋_GB2312" w:cs="仿宋_GB2312" w:hint="eastAsia"/>
          <w:sz w:val="32"/>
          <w:szCs w:val="32"/>
          <w:lang w:eastAsia="zh-CN"/>
        </w:rPr>
        <w:t>《</w:t>
      </w:r>
      <w:r>
        <w:rPr>
          <w:rFonts w:ascii="仿宋_GB2312" w:eastAsia="仿宋_GB2312" w:cs="仿宋_GB2312" w:hint="eastAsia"/>
          <w:sz w:val="32"/>
          <w:szCs w:val="32"/>
        </w:rPr>
        <w:t>嘉兴市</w:t>
      </w:r>
      <w:r>
        <w:rPr>
          <w:rFonts w:ascii="仿宋_GB2312" w:eastAsia="仿宋_GB2312" w:cs="仿宋_GB2312" w:hint="eastAsia"/>
          <w:sz w:val="32"/>
          <w:szCs w:val="32"/>
          <w:lang w:eastAsia="zh-CN"/>
        </w:rPr>
        <w:t>大运河世界文化遗产保护</w:t>
      </w:r>
      <w:r>
        <w:rPr>
          <w:rFonts w:ascii="仿宋_GB2312" w:eastAsia="仿宋_GB2312" w:cs="仿宋_GB2312" w:hint="eastAsia"/>
          <w:sz w:val="32"/>
          <w:szCs w:val="32"/>
        </w:rPr>
        <w:t>条例</w:t>
      </w:r>
      <w:r>
        <w:rPr>
          <w:rFonts w:ascii="仿宋_GB2312" w:eastAsia="仿宋_GB2312" w:cs="仿宋_GB2312" w:hint="eastAsia"/>
          <w:sz w:val="32"/>
          <w:szCs w:val="32"/>
          <w:lang w:eastAsia="zh-CN"/>
        </w:rPr>
        <w:t>》《</w:t>
      </w:r>
      <w:r>
        <w:rPr>
          <w:rFonts w:ascii="仿宋_GB2312" w:eastAsia="仿宋_GB2312" w:cs="仿宋_GB2312" w:hint="eastAsia"/>
          <w:sz w:val="32"/>
          <w:szCs w:val="32"/>
        </w:rPr>
        <w:t>嘉兴市</w:t>
      </w:r>
      <w:r>
        <w:rPr>
          <w:rFonts w:ascii="仿宋_GB2312" w:eastAsia="仿宋_GB2312" w:cs="仿宋_GB2312" w:hint="eastAsia"/>
          <w:sz w:val="32"/>
          <w:szCs w:val="32"/>
          <w:lang w:eastAsia="zh-CN"/>
        </w:rPr>
        <w:t>养犬管理</w:t>
      </w:r>
      <w:r>
        <w:rPr>
          <w:rFonts w:ascii="仿宋_GB2312" w:eastAsia="仿宋_GB2312" w:cs="仿宋_GB2312" w:hint="eastAsia"/>
          <w:sz w:val="32"/>
          <w:szCs w:val="32"/>
        </w:rPr>
        <w:t>条例</w:t>
      </w:r>
      <w:r>
        <w:rPr>
          <w:rFonts w:ascii="仿宋_GB2312" w:eastAsia="仿宋_GB2312" w:cs="仿宋_GB2312" w:hint="eastAsia"/>
          <w:sz w:val="32"/>
          <w:szCs w:val="32"/>
          <w:lang w:eastAsia="zh-CN"/>
        </w:rPr>
        <w:t>》《</w:t>
      </w:r>
      <w:r>
        <w:rPr>
          <w:rFonts w:ascii="仿宋_GB2312" w:eastAsia="仿宋_GB2312" w:cs="仿宋_GB2312" w:hint="eastAsia"/>
          <w:sz w:val="32"/>
          <w:szCs w:val="32"/>
        </w:rPr>
        <w:t>嘉兴市</w:t>
      </w:r>
      <w:r>
        <w:rPr>
          <w:rFonts w:ascii="仿宋_GB2312" w:eastAsia="仿宋_GB2312" w:cs="仿宋_GB2312" w:hint="eastAsia"/>
          <w:sz w:val="32"/>
          <w:szCs w:val="32"/>
          <w:lang w:eastAsia="zh-CN"/>
        </w:rPr>
        <w:t>生活垃圾分类管理</w:t>
      </w:r>
      <w:r>
        <w:rPr>
          <w:rFonts w:ascii="仿宋_GB2312" w:eastAsia="仿宋_GB2312" w:cs="仿宋_GB2312" w:hint="eastAsia"/>
          <w:sz w:val="32"/>
          <w:szCs w:val="32"/>
        </w:rPr>
        <w:t>条例</w:t>
      </w:r>
      <w:r>
        <w:rPr>
          <w:rFonts w:ascii="仿宋_GB2312" w:eastAsia="仿宋_GB2312" w:cs="仿宋_GB2312" w:hint="eastAsia"/>
          <w:sz w:val="32"/>
          <w:szCs w:val="32"/>
          <w:lang w:eastAsia="zh-CN"/>
        </w:rPr>
        <w:t>》</w:t>
      </w:r>
      <w:r>
        <w:rPr>
          <w:rFonts w:ascii="仿宋_GB2312" w:eastAsia="仿宋_GB2312" w:cs="仿宋_GB2312" w:hint="eastAsia"/>
          <w:sz w:val="32"/>
          <w:szCs w:val="32"/>
        </w:rPr>
        <w:t>根据本决定作相应修改，重新公布。</w:t>
      </w:r>
    </w:p>
    <w:sectPr>
      <w:footerReference w:type="default" r:id="rId2"/>
      <w:footerReference w:type="even" r:id="rId3"/>
      <w:pgSz w:w="11906" w:h="16838"/>
      <w:pgMar w:top="2013" w:right="1474" w:bottom="1899" w:left="1588" w:header="851" w:footer="1037" w:gutter="0"/>
      <w:docGrid w:type="linesAndChars" w:linePitch="590" w:charSpace="122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楷体_GB2312">
    <w:panose1 w:val="02010609030101010101"/>
    <w:charset w:val="86"/>
    <w:family w:val="modern"/>
    <w:pitch w:val="variable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variable"/>
    <w:sig w:usb0="00000001" w:usb1="080E0000" w:usb2="00000000" w:usb3="00000000" w:csb0="00040000" w:csb1="00000000"/>
  </w:font>
  <w:font w:name="方正黑体_GBK">
    <w:panose1 w:val="02000000000000000000"/>
    <w:charset w:val="86"/>
    <w:family w:val="auto"/>
    <w:pitch w:val="variable"/>
    <w:sig w:usb0="00000001" w:usb1="08000000" w:usb2="00000000" w:usb3="00000000" w:csb0="0004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Luxi Sans">
    <w:panose1 w:val="020B0600000000000000"/>
    <w:charset w:val="00"/>
    <w:family w:val="auto"/>
    <w:pitch w:val="variable"/>
    <w:sig w:usb0="00000007" w:usb1="00000000" w:usb2="00000000" w:usb3="00000000" w:csb0="00000093" w:csb1="0000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altName w:val="微软雅黑"/>
    <w:panose1 w:val="020F0502020204030204"/>
    <w:charset w:val="00"/>
    <w:family w:val="swiss"/>
    <w:pitch w:val="variable"/>
    <w:sig w:usb0="00000000" w:usb1="00000000" w:usb2="00000001" w:usb3="00000000" w:csb0="0000019F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8"/>
      <w:tabs>
        <w:tab w:val="center" w:pos="4153"/>
        <w:tab w:val="right" w:pos="8306"/>
      </w:tabs>
      <w:wordWrap w:val="0"/>
      <w:overflowPunct w:val="0"/>
      <w:autoSpaceDE w:val="0"/>
      <w:autoSpaceDN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20"/>
        <w:rFonts w:ascii="宋体" w:eastAsia="宋体" w:hint="eastAsia"/>
        <w:sz w:val="28"/>
      </w:rPr>
      <w:t>—</w:t>
    </w:r>
    <w:r>
      <w:rPr>
        <w:rStyle w:val="20"/>
        <w:rFonts w:ascii="宋体" w:eastAsia="宋体" w:cs="宋体" w:hint="eastAsia"/>
        <w:sz w:val="28"/>
        <w:szCs w:val="28"/>
      </w:rPr>
      <w:fldChar w:fldCharType="begin"/>
    </w:r>
    <w:r>
      <w:rPr>
        <w:rStyle w:val="20"/>
        <w:rFonts w:ascii="宋体" w:eastAsia="宋体" w:cs="宋体" w:hint="eastAsia"/>
        <w:sz w:val="28"/>
        <w:szCs w:val="28"/>
      </w:rPr>
      <w:instrText xml:space="preserve"> PAGE \* MERGEFORMAT </w:instrText>
    </w:r>
    <w:r>
      <w:rPr>
        <w:rFonts w:ascii="宋体" w:eastAsia="宋体" w:cs="宋体" w:hint="eastAsia"/>
        <w:sz w:val="28"/>
        <w:szCs w:val="28"/>
      </w:rPr>
      <w:fldChar w:fldCharType="separate"/>
    </w:r>
    <w:r>
      <w:t>1</w:t>
    </w:r>
    <w:r>
      <w:rPr>
        <w:rFonts w:ascii="宋体" w:eastAsia="宋体" w:cs="宋体" w:hint="eastAsia"/>
        <w:sz w:val="28"/>
        <w:szCs w:val="28"/>
      </w:rPr>
      <w:fldChar w:fldCharType="end"/>
    </w:r>
    <w:r>
      <w:rPr>
        <w:rStyle w:val="20"/>
        <w:rFonts w:ascii="宋体" w:eastAsia="宋体" w:hint="eastAsia"/>
        <w:sz w:val="28"/>
      </w:rPr>
      <w:t>—</w: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8"/>
      <w:tabs>
        <w:tab w:val="center" w:pos="4153"/>
        <w:tab w:val="right" w:pos="8306"/>
      </w:tabs>
      <w:spacing w:line="470" w:lineRule="auto"/>
      <w:ind w:leftChars="100" w:left="308"/>
      <w:jc w:val="left"/>
      <w:rPr>
        <w:rStyle w:val="20"/>
        <w:rFonts w:ascii="宋体" w:eastAsia="宋体"/>
        <w:sz w:val="28"/>
      </w:rPr>
    </w:pPr>
    <w:r>
      <w:rPr>
        <w:rStyle w:val="20"/>
        <w:rFonts w:ascii="宋体" w:eastAsia="宋体" w:hint="eastAsia"/>
        <w:sz w:val="28"/>
      </w:rPr>
      <w:t>—</w:t>
    </w:r>
    <w:r>
      <w:rPr>
        <w:rStyle w:val="20"/>
        <w:rFonts w:ascii="宋体" w:eastAsia="宋体" w:hint="eastAsia"/>
        <w:sz w:val="28"/>
      </w:rPr>
      <w:fldChar w:fldCharType="begin"/>
    </w:r>
    <w:r>
      <w:rPr>
        <w:rStyle w:val="20"/>
        <w:rFonts w:ascii="宋体" w:eastAsia="宋体" w:hint="eastAsia"/>
        <w:sz w:val="28"/>
      </w:rPr>
      <w:instrText xml:space="preserve"> PAGE </w:instrText>
    </w:r>
    <w:r>
      <w:rPr>
        <w:rFonts w:ascii="宋体" w:eastAsia="宋体" w:hint="eastAsia"/>
        <w:sz w:val="28"/>
      </w:rPr>
      <w:fldChar w:fldCharType="separate"/>
    </w:r>
    <w:r>
      <w:rPr>
        <w:rStyle w:val="20"/>
        <w:rFonts w:ascii="宋体" w:eastAsia="宋体"/>
        <w:sz w:val="28"/>
      </w:rPr>
      <w:t>2</w:t>
    </w:r>
    <w:r>
      <w:rPr>
        <w:rFonts w:ascii="宋体" w:eastAsia="宋体" w:hint="eastAsia"/>
        <w:sz w:val="28"/>
      </w:rPr>
      <w:fldChar w:fldCharType="end"/>
    </w:r>
    <w:r>
      <w:rPr>
        <w:rStyle w:val="20"/>
        <w:rFonts w:ascii="宋体" w:eastAsia="宋体" w:hint="eastAsia"/>
        <w:sz w:val="28"/>
      </w:rPr>
      <w:t>—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2B5727E2"/>
    <w:multiLevelType w:val="multilevel"/>
    <w:tmpl w:val="00000009"/>
    <w:lvl w:ilvl="0">
      <w:start w:val="1"/>
      <w:numFmt w:val="chineseCountingThousand"/>
      <w:lvlRestart w:val="0"/>
      <w:pStyle w:val="24"/>
      <w:suff w:val="space"/>
      <w:lvlText w:val="第%1章"/>
      <w:lvlJc w:val="left"/>
      <w:pPr>
        <w:tabs>
          <w:tab w:val="num" w:pos="0"/>
        </w:tabs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tabs>
          <w:tab w:val="num" w:pos="0"/>
        </w:tabs>
        <w:ind w:left="0" w:hanging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tabs>
          <w:tab w:val="num" w:pos="0"/>
        </w:tabs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tabs>
          <w:tab w:val="num" w:pos="0"/>
        </w:tabs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ocumentProtection w:edit="readOnly" w:enforcement="0"/>
  <w:defaultTabStop w:val="720"/>
  <w:evenAndOddHeaders/>
  <w:drawingGridHorizontalSpacing w:val="308"/>
  <w:drawingGridVerticalSpacing w:val="295"/>
  <w:displayHorizontalDrawingGridEvery w:val="0"/>
  <w:displayVerticalDrawingGridEvery w:val="1"/>
  <w:noPunctuationKerning/>
  <w:characterSpacingControl w:val="compressPunctuation"/>
  <w:compat>
    <w:spaceForUL/>
    <w:balanceSingleByteDoubleByteWidth/>
    <w:doNotExpandShiftReturn/>
    <w:adjustLineHeightInTable/>
    <w:compatSetting w:name="compatibilityMode" w:uri="http://schemas.microsoft.com/office/word" w:val="12"/>
  </w:compat>
  <w:docVars>
    <w:docVar w:name="iDocStyle" w:val="2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next w:val="16"/>
    <w:pPr>
      <w:widowControl w:val="0"/>
      <w:spacing w:line="240" w:lineRule="atLeast"/>
      <w:jc w:val="both"/>
    </w:pPr>
    <w:rPr>
      <w:rFonts w:ascii="Times New Roman" w:eastAsia="仿宋_GB2312" w:cs="Times New Roman" w:hAnsi="Times New Roman"/>
      <w:spacing w:val="-6"/>
      <w:kern w:val="2"/>
      <w:sz w:val="32"/>
      <w:szCs w:val="20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next w:val="17"/>
    <w:pPr>
      <w:widowControl w:val="0"/>
      <w:suppressAutoHyphens/>
      <w:spacing w:after="140" w:line="276" w:lineRule="auto"/>
    </w:pPr>
    <w:rPr>
      <w:rFonts w:ascii="Calibri" w:eastAsia="宋体" w:cs="Times New Roman" w:hAnsi="Calibri"/>
      <w:szCs w:val="24"/>
    </w:rPr>
  </w:style>
  <w:style w:type="paragraph" w:customStyle="1" w:styleId="16">
    <w:name w:val="正文首行缩进1"/>
    <w:basedOn w:val="15"/>
    <w:pPr>
      <w:ind w:firstLineChars="100" w:firstLine="100"/>
    </w:pPr>
  </w:style>
  <w:style w:type="paragraph" w:styleId="17">
    <w:name w:val="Body Text First Indent"/>
    <w:basedOn w:val="15"/>
    <w:next w:val="0"/>
    <w:pPr>
      <w:ind w:firstLineChars="100" w:firstLine="100"/>
    </w:pPr>
    <w:rPr>
      <w:rFonts w:eastAsia="宋体"/>
      <w:sz w:val="24"/>
      <w:szCs w:val="24"/>
    </w:rPr>
  </w:style>
  <w:style w:type="paragraph" w:styleId="18">
    <w:name w:val="footer"/>
    <w:basedOn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19">
    <w:name w:val="header"/>
    <w:basedOn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20">
    <w:name w:val="page number"/>
    <w:basedOn w:val="10"/>
  </w:style>
  <w:style w:type="character" w:styleId="21">
    <w:name w:val="FollowedHyperlink"/>
    <w:basedOn w:val="10"/>
    <w:rPr>
      <w:color w:val="800080"/>
      <w:sz w:val="18"/>
      <w:szCs w:val="18"/>
      <w:u w:val="none"/>
    </w:rPr>
  </w:style>
  <w:style w:type="character" w:styleId="22">
    <w:name w:val="line number"/>
    <w:basedOn w:val="10"/>
  </w:style>
  <w:style w:type="character" w:styleId="23">
    <w:name w:val="Hyperlink"/>
    <w:basedOn w:val="10"/>
    <w:rPr>
      <w:color w:val="0000FF"/>
      <w:sz w:val="18"/>
      <w:szCs w:val="18"/>
      <w:u w:val="none"/>
    </w:rPr>
  </w:style>
  <w:style w:type="paragraph" w:customStyle="1" w:styleId="24">
    <w:name w:val="居中"/>
    <w:basedOn w:val="0"/>
    <w:pPr>
      <w:numPr>
        <w:ilvl w:val="0"/>
        <w:numId w:val="1"/>
      </w:numPr>
    </w:pPr>
  </w:style>
  <w:style w:type="paragraph" w:customStyle="1" w:styleId="25">
    <w:name w:val="列出段落1"/>
    <w:basedOn w:val="0"/>
    <w:pPr>
      <w:ind w:firstLineChars="200" w:firstLine="200"/>
    </w:pPr>
  </w:style>
  <w:style w:type="character" w:customStyle="1" w:styleId="26">
    <w:name w:val="red"/>
    <w:basedOn w:val="10"/>
    <w:rPr>
      <w:color w:val="FF0000"/>
      <w:sz w:val="21"/>
      <w:szCs w:val="21"/>
    </w:rPr>
  </w:style>
  <w:style w:type="paragraph" w:customStyle="1" w:styleId="27">
    <w:name w:val="p0"/>
    <w:basedOn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</TotalTime>
  <Application>Yozo_Office27021597764231179</Application>
  <Pages>2</Pages>
  <Words>819</Words>
  <Characters>827</Characters>
  <Lines>40</Lines>
  <Paragraphs>18</Paragraphs>
  <CharactersWithSpaces>829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No:0000001</dc:title>
  <dc:creator>shy</dc:creator>
  <cp:lastModifiedBy>zjrd</cp:lastModifiedBy>
  <cp:revision>2</cp:revision>
  <dcterms:created xsi:type="dcterms:W3CDTF">2017-01-12T09:18:00Z</dcterms:created>
  <dcterms:modified xsi:type="dcterms:W3CDTF">2021-10-15T02:36:12Z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2052-11.8.2.9793</vt:lpwstr>
  </property>
  <property fmtid="{D5CDD505-2E9C-101B-9397-08002B2CF9AE}" pid="3" name="公文模板版本">
    <vt:lpwstr>20160721</vt:lpwstr>
  </property>
</Properties>
</file>