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wordWrap/>
        <w:spacing w:before="0" w:after="0" w:line="560" w:lineRule="exact"/>
        <w:ind w:left="0" w:right="0" w:firstLine="600"/>
        <w:textAlignment w:val="auto"/>
        <w:outlineLvl w:val="9"/>
        <w:rPr>
          <w:rFonts w:hint="eastAsia" w:ascii="仿宋_GB2312" w:eastAsia="仿宋_GB2312" w:cs="仿宋_GB2312"/>
          <w:bCs/>
          <w:color w:val="auto"/>
          <w:sz w:val="32"/>
          <w:szCs w:val="32"/>
        </w:rPr>
      </w:pPr>
    </w:p>
    <w:p>
      <w:pPr>
        <w:pStyle w:val="8"/>
        <w:wordWrap/>
        <w:spacing w:before="0" w:after="0" w:line="560" w:lineRule="exact"/>
        <w:ind w:left="0" w:right="0" w:firstLine="600"/>
        <w:textAlignment w:val="auto"/>
        <w:outlineLvl w:val="9"/>
        <w:rPr>
          <w:rFonts w:hint="eastAsia" w:ascii="仿宋_GB2312" w:eastAsia="仿宋_GB2312" w:cs="仿宋_GB2312"/>
          <w:bCs/>
          <w:color w:val="auto"/>
          <w:sz w:val="32"/>
          <w:szCs w:val="32"/>
        </w:rPr>
      </w:pPr>
    </w:p>
    <w:p>
      <w:pPr>
        <w:pStyle w:val="8"/>
        <w:wordWrap/>
        <w:spacing w:before="0" w:after="0" w:line="560" w:lineRule="exact"/>
        <w:ind w:left="0" w:right="0"/>
        <w:jc w:val="center"/>
        <w:textAlignment w:val="auto"/>
        <w:outlineLvl w:val="9"/>
        <w:rPr>
          <w:rFonts w:hint="eastAsia" w:ascii="宋体" w:eastAsia="宋体" w:cs="宋体"/>
          <w:bCs/>
          <w:color w:val="auto"/>
          <w:w w:val="95"/>
          <w:sz w:val="44"/>
          <w:szCs w:val="44"/>
        </w:rPr>
      </w:pPr>
      <w:r>
        <w:rPr>
          <w:rFonts w:hint="eastAsia" w:ascii="宋体" w:eastAsia="宋体" w:cs="宋体"/>
          <w:bCs/>
          <w:color w:val="auto"/>
          <w:w w:val="95"/>
          <w:sz w:val="44"/>
          <w:szCs w:val="44"/>
        </w:rPr>
        <w:t>嘉兴市大运河世界文化遗产保护条例</w:t>
      </w:r>
    </w:p>
    <w:p>
      <w:pPr>
        <w:pStyle w:val="20"/>
        <w:widowControl/>
        <w:wordWrap/>
        <w:adjustRightInd/>
        <w:snapToGrid/>
        <w:spacing w:before="0" w:after="0" w:line="560" w:lineRule="exact"/>
        <w:ind w:left="0" w:right="0" w:firstLine="0"/>
        <w:jc w:val="left"/>
        <w:textAlignment w:val="auto"/>
        <w:outlineLvl w:val="9"/>
        <w:rPr>
          <w:rFonts w:hint="eastAsia" w:ascii="楷体_GB2312" w:eastAsia="楷体_GB2312" w:cs="Arial"/>
          <w:spacing w:val="-6"/>
          <w:kern w:val="2"/>
          <w:sz w:val="32"/>
          <w:szCs w:val="32"/>
          <w:lang w:val="en-US" w:eastAsia="zh-CN" w:bidi="ar-SA"/>
        </w:rPr>
      </w:pPr>
    </w:p>
    <w:p>
      <w:pPr>
        <w:keepNext w:val="0"/>
        <w:keepLines w:val="0"/>
        <w:pageBreakBefore w:val="0"/>
        <w:widowControl w:val="0"/>
        <w:kinsoku/>
        <w:wordWrap/>
        <w:overflowPunct/>
        <w:topLinePunct w:val="0"/>
        <w:autoSpaceDE/>
        <w:autoSpaceDN/>
        <w:adjustRightInd w:val="0"/>
        <w:snapToGrid/>
        <w:spacing w:line="560" w:lineRule="exact"/>
        <w:ind w:left="626" w:leftChars="200" w:right="626" w:rightChars="200" w:firstLine="0"/>
        <w:rPr>
          <w:rFonts w:hint="eastAsia" w:ascii="楷体_GB2312" w:eastAsia="楷体_GB2312" w:cs="宋体"/>
          <w:szCs w:val="32"/>
          <w:shd w:val="clear" w:color="auto" w:fill="auto"/>
          <w:lang w:val="en-US" w:eastAsia="zh-CN"/>
        </w:rPr>
      </w:pPr>
      <w:r>
        <w:rPr>
          <w:rFonts w:hint="eastAsia" w:ascii="楷体_GB2312" w:eastAsia="楷体_GB2312" w:cs="宋体"/>
          <w:szCs w:val="32"/>
          <w:shd w:val="clear" w:color="auto" w:fill="auto"/>
          <w:lang w:val="en-US" w:eastAsia="zh-CN"/>
        </w:rPr>
        <w:t>（2017年12月27日嘉兴市第八届人民代表大会常务委员会第六次会议通过  2018年3月31日浙江省第十三届人民代表大会常务委员会第二次会议批准  根据2021年8月19日嘉兴市第八届人民代表大会常务委员会第三十六次会议通过  2021年9月29日浙江省第十三届人民代表大会常务委员会第三十一次会议批准的《嘉兴市人民代表大会常务委员会关于修改〈嘉兴市大运河世界文化遗产保护条例〉等三件地方性法规的决定》修正）</w:t>
      </w:r>
    </w:p>
    <w:p>
      <w:pPr>
        <w:pStyle w:val="8"/>
        <w:wordWrap/>
        <w:spacing w:before="0" w:after="0" w:line="560" w:lineRule="exact"/>
        <w:ind w:left="0" w:right="0"/>
        <w:textAlignment w:val="auto"/>
        <w:outlineLvl w:val="9"/>
        <w:rPr>
          <w:rFonts w:ascii="黑体" w:eastAsia="黑体" w:cs="黑体"/>
          <w:bCs/>
          <w:color w:val="auto"/>
          <w:sz w:val="32"/>
          <w:szCs w:val="32"/>
        </w:rPr>
      </w:pP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ascii="仿宋" w:eastAsia="仿宋" w:cs="仿宋"/>
          <w:bCs/>
          <w:color w:val="auto"/>
          <w:sz w:val="32"/>
          <w:szCs w:val="32"/>
        </w:rPr>
      </w:pPr>
      <w:r>
        <w:rPr>
          <w:rFonts w:ascii="黑体" w:eastAsia="黑体" w:cs="黑体"/>
          <w:bCs/>
          <w:color w:val="auto"/>
          <w:sz w:val="32"/>
          <w:szCs w:val="32"/>
        </w:rPr>
        <w:t>第一条</w:t>
      </w:r>
      <w:r>
        <w:rPr>
          <w:rFonts w:ascii="仿宋" w:eastAsia="仿宋" w:cs="仿宋"/>
          <w:bCs/>
          <w:color w:val="auto"/>
          <w:sz w:val="32"/>
          <w:szCs w:val="32"/>
        </w:rPr>
        <w:t xml:space="preserve"> </w:t>
      </w:r>
      <w:r>
        <w:rPr>
          <w:rFonts w:hint="eastAsia" w:ascii="仿宋" w:eastAsia="仿宋" w:cs="仿宋"/>
          <w:bCs/>
          <w:color w:val="auto"/>
          <w:sz w:val="32"/>
          <w:szCs w:val="32"/>
          <w:lang w:val="en-US" w:eastAsia="zh-CN"/>
        </w:rPr>
        <w:t xml:space="preserve"> </w:t>
      </w:r>
      <w:r>
        <w:rPr>
          <w:rFonts w:hint="eastAsia" w:ascii="仿宋_GB2312" w:eastAsia="仿宋_GB2312" w:cs="仿宋_GB2312"/>
          <w:bCs/>
          <w:color w:val="auto"/>
          <w:sz w:val="32"/>
          <w:szCs w:val="32"/>
        </w:rPr>
        <w:t>为了加强嘉兴市大运河世界文化遗产保护，根据《中华人民共和国文物保护法》和有关法律、法规，结合本市实际，制定本条例。</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ascii="黑体" w:eastAsia="黑体" w:cs="黑体"/>
          <w:bCs/>
          <w:color w:val="auto"/>
          <w:sz w:val="32"/>
          <w:szCs w:val="32"/>
        </w:rPr>
        <w:t>第二条</w:t>
      </w:r>
      <w:r>
        <w:rPr>
          <w:rFonts w:ascii="仿宋" w:eastAsia="仿宋" w:cs="仿宋"/>
          <w:bCs/>
          <w:color w:val="auto"/>
          <w:sz w:val="32"/>
          <w:szCs w:val="32"/>
        </w:rPr>
        <w:t xml:space="preserve"> </w:t>
      </w:r>
      <w:r>
        <w:rPr>
          <w:rFonts w:hint="eastAsia" w:ascii="仿宋" w:eastAsia="仿宋" w:cs="仿宋"/>
          <w:bCs/>
          <w:color w:val="auto"/>
          <w:sz w:val="32"/>
          <w:szCs w:val="32"/>
          <w:lang w:val="en-US" w:eastAsia="zh-CN"/>
        </w:rPr>
        <w:t xml:space="preserve"> </w:t>
      </w:r>
      <w:r>
        <w:rPr>
          <w:rFonts w:hint="eastAsia" w:ascii="仿宋_GB2312" w:eastAsia="仿宋_GB2312" w:cs="仿宋_GB2312"/>
          <w:b w:val="0"/>
          <w:bCs/>
          <w:color w:val="auto"/>
          <w:sz w:val="32"/>
          <w:szCs w:val="32"/>
        </w:rPr>
        <w:t>本市行政区域内</w:t>
      </w:r>
      <w:r>
        <w:rPr>
          <w:rFonts w:hint="eastAsia" w:ascii="仿宋_GB2312" w:eastAsia="仿宋_GB2312" w:cs="仿宋_GB2312"/>
          <w:b w:val="0"/>
          <w:bCs/>
          <w:color w:val="auto"/>
          <w:sz w:val="32"/>
          <w:szCs w:val="32"/>
          <w:lang w:eastAsia="zh-CN"/>
        </w:rPr>
        <w:t>的</w:t>
      </w:r>
      <w:r>
        <w:rPr>
          <w:rFonts w:hint="eastAsia" w:ascii="仿宋_GB2312" w:eastAsia="仿宋_GB2312" w:cs="仿宋_GB2312"/>
          <w:b w:val="0"/>
          <w:bCs/>
          <w:color w:val="auto"/>
          <w:sz w:val="32"/>
          <w:szCs w:val="32"/>
        </w:rPr>
        <w:t>大运河世界文化遗产（以下简称大运河遗产）</w:t>
      </w:r>
      <w:r>
        <w:rPr>
          <w:rFonts w:hint="eastAsia" w:ascii="仿宋_GB2312" w:eastAsia="仿宋_GB2312" w:cs="仿宋_GB2312"/>
          <w:b w:val="0"/>
          <w:bCs/>
          <w:color w:val="auto"/>
          <w:sz w:val="32"/>
          <w:szCs w:val="32"/>
          <w:u w:val="none" w:color="auto"/>
          <w:lang w:eastAsia="zh-CN"/>
        </w:rPr>
        <w:t>保护</w:t>
      </w:r>
      <w:r>
        <w:rPr>
          <w:rFonts w:hint="eastAsia" w:ascii="仿宋_GB2312" w:eastAsia="仿宋_GB2312" w:cs="仿宋_GB2312"/>
          <w:b w:val="0"/>
          <w:bCs/>
          <w:color w:val="auto"/>
          <w:sz w:val="32"/>
          <w:szCs w:val="32"/>
          <w:u w:val="none" w:color="auto"/>
        </w:rPr>
        <w:t>，</w:t>
      </w:r>
      <w:r>
        <w:rPr>
          <w:rFonts w:hint="eastAsia" w:ascii="仿宋_GB2312" w:eastAsia="仿宋_GB2312" w:cs="仿宋_GB2312"/>
          <w:b w:val="0"/>
          <w:bCs/>
          <w:color w:val="auto"/>
          <w:sz w:val="32"/>
          <w:szCs w:val="32"/>
        </w:rPr>
        <w:t>适用本条例。</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本条例所称大运河遗产，包括：</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（一）遗产河道：苏州塘、嘉兴环城河、杭州塘、崇长港、上塘河；</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ascii="仿宋" w:eastAsia="仿宋" w:cs="仿宋"/>
          <w:bCs/>
          <w:color w:val="auto"/>
          <w:sz w:val="32"/>
          <w:szCs w:val="32"/>
        </w:rPr>
      </w:pPr>
      <w:r>
        <w:rPr>
          <w:rFonts w:hint="eastAsia" w:ascii="仿宋_GB2312" w:eastAsia="仿宋_GB2312" w:cs="仿宋_GB2312"/>
          <w:bCs/>
          <w:color w:val="auto"/>
          <w:sz w:val="32"/>
          <w:szCs w:val="32"/>
        </w:rPr>
        <w:t>（二）遗产点：长虹桥、长安闸。</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ascii="仿宋" w:eastAsia="仿宋" w:cs="仿宋"/>
          <w:bCs/>
          <w:color w:val="auto"/>
          <w:sz w:val="32"/>
          <w:szCs w:val="32"/>
        </w:rPr>
      </w:pPr>
      <w:r>
        <w:rPr>
          <w:rFonts w:ascii="黑体" w:eastAsia="黑体" w:cs="黑体"/>
          <w:bCs/>
          <w:color w:val="auto"/>
          <w:sz w:val="32"/>
          <w:szCs w:val="32"/>
        </w:rPr>
        <w:t>第三条</w:t>
      </w:r>
      <w:r>
        <w:rPr>
          <w:rFonts w:ascii="仿宋" w:eastAsia="仿宋" w:cs="仿宋"/>
          <w:bCs/>
          <w:color w:val="auto"/>
          <w:sz w:val="32"/>
          <w:szCs w:val="32"/>
        </w:rPr>
        <w:t xml:space="preserve"> </w:t>
      </w:r>
      <w:r>
        <w:rPr>
          <w:rFonts w:hint="eastAsia" w:ascii="仿宋" w:eastAsia="仿宋" w:cs="仿宋"/>
          <w:bCs/>
          <w:color w:val="auto"/>
          <w:sz w:val="32"/>
          <w:szCs w:val="32"/>
          <w:lang w:val="en-US" w:eastAsia="zh-CN"/>
        </w:rPr>
        <w:t xml:space="preserve"> </w:t>
      </w:r>
      <w:r>
        <w:rPr>
          <w:rFonts w:hint="eastAsia" w:ascii="仿宋_GB2312" w:eastAsia="仿宋_GB2312" w:cs="仿宋_GB2312"/>
          <w:bCs/>
          <w:color w:val="auto"/>
          <w:sz w:val="32"/>
          <w:szCs w:val="32"/>
        </w:rPr>
        <w:t>大运河遗产保护遵循“统一规划、分级负责、属地管理、合理利用”的原则，维护大运河遗产的真实性、完整性和延续性。</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ascii="黑体" w:eastAsia="黑体" w:cs="黑体"/>
          <w:bCs/>
          <w:color w:val="auto"/>
          <w:sz w:val="32"/>
          <w:szCs w:val="32"/>
        </w:rPr>
        <w:t>第四条</w:t>
      </w:r>
      <w:r>
        <w:rPr>
          <w:rFonts w:hint="eastAsia" w:ascii="黑体" w:eastAsia="黑体" w:cs="黑体"/>
          <w:bCs/>
          <w:color w:val="auto"/>
          <w:sz w:val="32"/>
          <w:szCs w:val="32"/>
          <w:lang w:val="en-US" w:eastAsia="zh-CN"/>
        </w:rPr>
        <w:t xml:space="preserve"> </w:t>
      </w:r>
      <w:r>
        <w:rPr>
          <w:rFonts w:ascii="仿宋_GB2312" w:eastAsia="仿宋_GB2312" w:cs="仿宋_GB2312"/>
          <w:bCs/>
          <w:color w:val="auto"/>
          <w:sz w:val="32"/>
          <w:szCs w:val="32"/>
        </w:rPr>
        <w:t xml:space="preserve"> </w:t>
      </w:r>
      <w:r>
        <w:rPr>
          <w:rFonts w:hint="eastAsia" w:ascii="仿宋_GB2312" w:eastAsia="仿宋_GB2312" w:cs="仿宋_GB2312"/>
          <w:bCs/>
          <w:color w:val="auto"/>
          <w:sz w:val="32"/>
          <w:szCs w:val="32"/>
        </w:rPr>
        <w:t>市人民政府应当加强对大运河遗产保护的组织领导。</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ascii="仿宋" w:eastAsia="仿宋" w:cs="仿宋"/>
          <w:bCs/>
          <w:color w:val="auto"/>
          <w:sz w:val="32"/>
          <w:szCs w:val="32"/>
        </w:rPr>
      </w:pPr>
      <w:r>
        <w:rPr>
          <w:rFonts w:hint="eastAsia" w:ascii="仿宋_GB2312" w:eastAsia="仿宋_GB2312" w:cs="仿宋_GB2312"/>
          <w:bCs/>
          <w:color w:val="auto"/>
          <w:sz w:val="32"/>
          <w:szCs w:val="32"/>
        </w:rPr>
        <w:t>大运河遗产所在地的县级人民政府负责本行政区域内的大运河遗产保护。</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shd w:val="clear" w:color="FFFFFF" w:fill="FFFFFF"/>
        </w:rPr>
      </w:pPr>
      <w:r>
        <w:rPr>
          <w:rFonts w:hint="eastAsia" w:ascii="仿宋_GB2312" w:eastAsia="仿宋_GB2312" w:cs="仿宋_GB2312"/>
          <w:bCs/>
          <w:color w:val="auto"/>
          <w:sz w:val="32"/>
          <w:szCs w:val="32"/>
        </w:rPr>
        <w:t>大运河遗产所在地的镇人民政府、街道办事处应当协助做好大运河遗产</w:t>
      </w:r>
      <w:r>
        <w:rPr>
          <w:rFonts w:hint="eastAsia" w:ascii="仿宋_GB2312" w:eastAsia="仿宋_GB2312" w:cs="仿宋_GB2312"/>
          <w:bCs/>
          <w:color w:val="auto"/>
          <w:sz w:val="32"/>
          <w:szCs w:val="32"/>
          <w:lang w:eastAsia="zh-CN"/>
        </w:rPr>
        <w:t>的</w:t>
      </w:r>
      <w:r>
        <w:rPr>
          <w:rFonts w:hint="eastAsia" w:ascii="仿宋_GB2312" w:eastAsia="仿宋_GB2312" w:cs="仿宋_GB2312"/>
          <w:bCs/>
          <w:color w:val="auto"/>
          <w:sz w:val="32"/>
          <w:szCs w:val="32"/>
        </w:rPr>
        <w:t>保护工作。</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shd w:val="clear" w:color="FFFFFF" w:fill="FFFFFF"/>
        </w:rPr>
      </w:pPr>
      <w:r>
        <w:rPr>
          <w:rFonts w:hint="eastAsia" w:ascii="黑体" w:eastAsia="黑体" w:cs="黑体"/>
          <w:bCs/>
          <w:color w:val="auto"/>
          <w:sz w:val="32"/>
          <w:szCs w:val="32"/>
        </w:rPr>
        <w:t>第五条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u w:val="none" w:color="auto"/>
        </w:rPr>
        <w:t>市、县两级文物主管部门负责本</w:t>
      </w:r>
      <w:r>
        <w:rPr>
          <w:rFonts w:hint="eastAsia" w:ascii="仿宋_GB2312" w:eastAsia="仿宋_GB2312" w:cs="仿宋_GB2312"/>
          <w:bCs/>
          <w:color w:val="auto"/>
          <w:sz w:val="32"/>
          <w:szCs w:val="32"/>
          <w:u w:val="none" w:color="auto"/>
          <w:lang w:eastAsia="zh-CN"/>
        </w:rPr>
        <w:t>辖区</w:t>
      </w:r>
      <w:r>
        <w:rPr>
          <w:rFonts w:hint="eastAsia" w:ascii="仿宋_GB2312" w:eastAsia="仿宋_GB2312" w:cs="仿宋_GB2312"/>
          <w:bCs/>
          <w:color w:val="auto"/>
          <w:sz w:val="32"/>
          <w:szCs w:val="32"/>
          <w:u w:val="none" w:color="auto"/>
        </w:rPr>
        <w:t>内大运河遗产保护</w:t>
      </w:r>
      <w:r>
        <w:rPr>
          <w:rFonts w:hint="eastAsia" w:ascii="仿宋_GB2312" w:eastAsia="仿宋_GB2312" w:cs="仿宋_GB2312"/>
          <w:bCs/>
          <w:color w:val="auto"/>
          <w:sz w:val="32"/>
          <w:szCs w:val="32"/>
          <w:u w:val="none" w:color="auto"/>
          <w:lang w:eastAsia="zh-CN"/>
        </w:rPr>
        <w:t>工作的</w:t>
      </w:r>
      <w:r>
        <w:rPr>
          <w:rFonts w:hint="eastAsia" w:ascii="仿宋_GB2312" w:eastAsia="仿宋_GB2312" w:cs="仿宋_GB2312"/>
          <w:bCs/>
          <w:color w:val="auto"/>
          <w:sz w:val="32"/>
          <w:szCs w:val="32"/>
          <w:u w:val="none" w:color="auto"/>
        </w:rPr>
        <w:t>指导协调和监督管理：</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（一）建立大运河遗产监测和预警系统，编制</w:t>
      </w:r>
      <w:r>
        <w:rPr>
          <w:rFonts w:hint="eastAsia" w:ascii="仿宋_GB2312" w:eastAsia="仿宋_GB2312" w:cs="仿宋_GB2312"/>
          <w:bCs/>
          <w:color w:val="auto"/>
          <w:sz w:val="32"/>
          <w:szCs w:val="32"/>
          <w:lang w:eastAsia="zh-CN"/>
        </w:rPr>
        <w:t>大运河</w:t>
      </w:r>
      <w:r>
        <w:rPr>
          <w:rFonts w:hint="eastAsia" w:ascii="仿宋_GB2312" w:eastAsia="仿宋_GB2312" w:cs="仿宋_GB2312"/>
          <w:bCs/>
          <w:color w:val="auto"/>
          <w:sz w:val="32"/>
          <w:szCs w:val="32"/>
        </w:rPr>
        <w:t>遗产保护应急预案，协调相关部门处置应急预警事件；</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（二）收集</w:t>
      </w:r>
      <w:r>
        <w:rPr>
          <w:rFonts w:hint="eastAsia" w:ascii="仿宋_GB2312" w:eastAsia="仿宋_GB2312" w:cs="仿宋_GB2312"/>
          <w:bCs/>
          <w:color w:val="auto"/>
          <w:sz w:val="32"/>
          <w:szCs w:val="32"/>
          <w:lang w:eastAsia="zh-CN"/>
        </w:rPr>
        <w:t>大运河</w:t>
      </w:r>
      <w:r>
        <w:rPr>
          <w:rFonts w:hint="eastAsia" w:ascii="仿宋_GB2312" w:eastAsia="仿宋_GB2312" w:cs="仿宋_GB2312"/>
          <w:bCs/>
          <w:color w:val="auto"/>
          <w:sz w:val="32"/>
          <w:szCs w:val="32"/>
        </w:rPr>
        <w:t>遗产监测数据，提交监测报告；</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（三）负责大运河遗产的研究、展示和档案资料</w:t>
      </w:r>
      <w:r>
        <w:rPr>
          <w:rFonts w:hint="eastAsia" w:ascii="仿宋_GB2312" w:eastAsia="仿宋_GB2312" w:cs="仿宋_GB2312"/>
          <w:bCs/>
          <w:color w:val="auto"/>
          <w:sz w:val="32"/>
          <w:szCs w:val="32"/>
          <w:lang w:eastAsia="zh-CN"/>
        </w:rPr>
        <w:t>等</w:t>
      </w:r>
      <w:r>
        <w:rPr>
          <w:rFonts w:hint="eastAsia" w:ascii="仿宋_GB2312" w:eastAsia="仿宋_GB2312" w:cs="仿宋_GB2312"/>
          <w:bCs/>
          <w:color w:val="auto"/>
          <w:sz w:val="32"/>
          <w:szCs w:val="32"/>
        </w:rPr>
        <w:t>收集工作；</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 w:val="0"/>
          <w:bCs/>
          <w:color w:val="auto"/>
          <w:sz w:val="32"/>
          <w:szCs w:val="32"/>
          <w:u w:val="none" w:color="auto"/>
          <w:lang w:eastAsia="zh-CN"/>
        </w:rPr>
      </w:pPr>
      <w:r>
        <w:rPr>
          <w:rFonts w:hint="eastAsia" w:ascii="仿宋_GB2312" w:eastAsia="仿宋_GB2312" w:cs="仿宋_GB2312"/>
          <w:b w:val="0"/>
          <w:bCs/>
          <w:color w:val="auto"/>
          <w:sz w:val="32"/>
          <w:szCs w:val="32"/>
          <w:u w:val="none" w:color="auto"/>
        </w:rPr>
        <w:t>（四）</w:t>
      </w:r>
      <w:r>
        <w:rPr>
          <w:rFonts w:hint="eastAsia" w:ascii="仿宋_GB2312" w:eastAsia="仿宋_GB2312" w:cs="仿宋_GB2312"/>
          <w:b w:val="0"/>
          <w:bCs/>
          <w:color w:val="auto"/>
          <w:sz w:val="32"/>
          <w:szCs w:val="32"/>
          <w:u w:val="none" w:color="auto"/>
          <w:lang w:eastAsia="zh-CN"/>
        </w:rPr>
        <w:t>依法</w:t>
      </w:r>
      <w:r>
        <w:rPr>
          <w:rFonts w:hint="eastAsia" w:ascii="仿宋_GB2312" w:eastAsia="仿宋_GB2312" w:cs="仿宋_GB2312"/>
          <w:b w:val="0"/>
          <w:bCs/>
          <w:color w:val="auto"/>
          <w:sz w:val="32"/>
          <w:szCs w:val="32"/>
          <w:u w:val="none" w:color="auto"/>
        </w:rPr>
        <w:t>开展大运河</w:t>
      </w:r>
      <w:r>
        <w:rPr>
          <w:rFonts w:hint="eastAsia" w:ascii="仿宋_GB2312" w:eastAsia="仿宋_GB2312" w:cs="仿宋_GB2312"/>
          <w:b w:val="0"/>
          <w:bCs/>
          <w:color w:val="auto"/>
          <w:sz w:val="32"/>
          <w:szCs w:val="32"/>
          <w:u w:val="none" w:color="auto"/>
          <w:lang w:eastAsia="zh-CN"/>
        </w:rPr>
        <w:t>遗产</w:t>
      </w:r>
      <w:r>
        <w:rPr>
          <w:rFonts w:hint="eastAsia" w:ascii="仿宋_GB2312" w:eastAsia="仿宋_GB2312" w:cs="仿宋_GB2312"/>
          <w:b w:val="0"/>
          <w:bCs/>
          <w:color w:val="auto"/>
          <w:sz w:val="32"/>
          <w:szCs w:val="32"/>
          <w:u w:val="none" w:color="auto"/>
        </w:rPr>
        <w:t>保护</w:t>
      </w:r>
      <w:r>
        <w:rPr>
          <w:rFonts w:hint="eastAsia" w:ascii="仿宋_GB2312" w:eastAsia="仿宋_GB2312" w:cs="仿宋_GB2312"/>
          <w:b w:val="0"/>
          <w:bCs/>
          <w:color w:val="auto"/>
          <w:sz w:val="32"/>
          <w:szCs w:val="32"/>
          <w:u w:val="none" w:color="auto"/>
          <w:lang w:eastAsia="zh-CN"/>
        </w:rPr>
        <w:t>的</w:t>
      </w:r>
      <w:r>
        <w:rPr>
          <w:rFonts w:hint="eastAsia" w:ascii="仿宋_GB2312" w:eastAsia="仿宋_GB2312" w:cs="仿宋_GB2312"/>
          <w:b w:val="0"/>
          <w:bCs/>
          <w:color w:val="auto"/>
          <w:sz w:val="32"/>
          <w:szCs w:val="32"/>
          <w:u w:val="none" w:color="auto"/>
        </w:rPr>
        <w:t>执法工作</w:t>
      </w:r>
      <w:r>
        <w:rPr>
          <w:rFonts w:hint="eastAsia" w:ascii="仿宋_GB2312" w:eastAsia="仿宋_GB2312" w:cs="仿宋_GB2312"/>
          <w:b w:val="0"/>
          <w:bCs/>
          <w:color w:val="auto"/>
          <w:sz w:val="32"/>
          <w:szCs w:val="32"/>
          <w:u w:val="none" w:color="auto"/>
          <w:lang w:eastAsia="zh-CN"/>
        </w:rPr>
        <w:t>；</w:t>
      </w:r>
    </w:p>
    <w:p>
      <w:pPr>
        <w:keepNext w:val="0"/>
        <w:keepLines w:val="0"/>
        <w:pageBreakBefore w:val="0"/>
        <w:kinsoku/>
        <w:wordWrap/>
        <w:overflowPunct/>
        <w:topLinePunct w:val="0"/>
        <w:autoSpaceDE/>
        <w:autoSpaceDN/>
        <w:bidi w:val="0"/>
        <w:spacing w:before="0" w:after="0" w:line="560" w:lineRule="exact"/>
        <w:ind w:left="0" w:right="0" w:firstLine="626" w:firstLineChars="200"/>
        <w:textAlignment w:val="auto"/>
        <w:outlineLvl w:val="9"/>
        <w:rPr>
          <w:rFonts w:hint="eastAsia" w:ascii="仿宋_GB2312" w:eastAsia="仿宋_GB2312" w:cs="仿宋_GB2312"/>
          <w:b w:val="0"/>
          <w:bCs/>
          <w:color w:val="auto"/>
          <w:sz w:val="32"/>
          <w:szCs w:val="32"/>
          <w:u w:val="wave" w:color="auto"/>
          <w:lang w:val="en-US"/>
        </w:rPr>
      </w:pPr>
      <w:r>
        <w:rPr>
          <w:rFonts w:hint="eastAsia" w:ascii="仿宋_GB2312" w:eastAsia="仿宋_GB2312" w:cs="仿宋_GB2312"/>
          <w:b w:val="0"/>
          <w:bCs/>
          <w:color w:val="auto"/>
          <w:sz w:val="32"/>
          <w:szCs w:val="32"/>
          <w:u w:val="none" w:color="auto"/>
          <w:lang w:val="en-US" w:eastAsia="zh-CN"/>
        </w:rPr>
        <w:t>（五）法律、法规规定的其他职责。</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发展和改革、教育、公安、财政、国土资源、环境保护、城乡规划、交通运输、水利、农业、</w:t>
      </w:r>
      <w:r>
        <w:rPr>
          <w:rFonts w:hint="eastAsia" w:ascii="仿宋_GB2312" w:eastAsia="仿宋_GB2312" w:cs="仿宋_GB2312"/>
          <w:bCs/>
          <w:color w:val="auto"/>
          <w:sz w:val="32"/>
          <w:szCs w:val="32"/>
          <w:lang w:eastAsia="zh-CN"/>
        </w:rPr>
        <w:t>文化、</w:t>
      </w:r>
      <w:r>
        <w:rPr>
          <w:rFonts w:hint="eastAsia" w:ascii="仿宋_GB2312" w:eastAsia="仿宋_GB2312" w:cs="仿宋_GB2312"/>
          <w:bCs/>
          <w:color w:val="auto"/>
          <w:sz w:val="32"/>
          <w:szCs w:val="32"/>
        </w:rPr>
        <w:t>旅游、综合执法、气象等有关部门应当按照各自职责，协同做好大运河遗产保护工作。</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第六条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市、县两级人民政府应当将本行政区域内的大运河遗产保护纳入本级国民经济和社会发展规划，大运河遗产保护所需经费列入本级财政预算。</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鼓励通过社会捐赠等方式募集大运河遗产保护资金，用于大运河遗产保护。</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第七条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公民、法人和其他组织都有依法保护大运河遗产的义务，并有权对破坏大运河遗产的行为进行劝阻、检举和控告。</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鼓励新闻媒体、各类文化教育机构和志愿者参与大运河遗产保护工作。</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市、县两级人民政府应当对在大运河遗产保护工作中作出突出贡献的组织或者个人给予奖励。</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u w:val="none" w:color="auto"/>
          <w:shd w:val="clear" w:color="FFFFFF" w:fill="FFFFFF"/>
        </w:rPr>
      </w:pPr>
      <w:r>
        <w:rPr>
          <w:rFonts w:hint="eastAsia" w:ascii="黑体" w:eastAsia="黑体" w:cs="黑体"/>
          <w:bCs/>
          <w:color w:val="auto"/>
          <w:sz w:val="32"/>
          <w:szCs w:val="32"/>
        </w:rPr>
        <w:t>第八条</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 xml:space="preserve"> 市文物主管部门应当会同有关部门</w:t>
      </w:r>
      <w:r>
        <w:rPr>
          <w:rFonts w:hint="eastAsia" w:ascii="仿宋_GB2312" w:eastAsia="仿宋_GB2312" w:cs="仿宋_GB2312"/>
          <w:bCs/>
          <w:color w:val="auto"/>
          <w:sz w:val="32"/>
          <w:szCs w:val="32"/>
          <w:lang w:eastAsia="zh-CN"/>
        </w:rPr>
        <w:t>，</w:t>
      </w:r>
      <w:r>
        <w:rPr>
          <w:rFonts w:hint="eastAsia" w:ascii="仿宋_GB2312" w:eastAsia="仿宋_GB2312" w:cs="仿宋_GB2312"/>
          <w:bCs/>
          <w:color w:val="auto"/>
          <w:sz w:val="32"/>
          <w:szCs w:val="32"/>
        </w:rPr>
        <w:t>组织编制嘉兴市大运河世界文化遗产保护规划（以下简称市大运河遗产保护规划）</w:t>
      </w:r>
      <w:r>
        <w:rPr>
          <w:rFonts w:hint="eastAsia" w:ascii="仿宋_GB2312" w:eastAsia="仿宋_GB2312" w:cs="仿宋_GB2312"/>
          <w:bCs/>
          <w:color w:val="auto"/>
          <w:sz w:val="32"/>
          <w:szCs w:val="32"/>
          <w:u w:val="none" w:color="auto"/>
          <w:lang w:eastAsia="zh-CN"/>
        </w:rPr>
        <w:t>，报市人民政府批准后实施。</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编制市大运河遗产保护规划应当广泛征求社会各界意见，并组织专家论证，必要时，应当举行听证。</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市</w:t>
      </w:r>
      <w:r>
        <w:rPr>
          <w:rFonts w:hint="eastAsia" w:ascii="仿宋_GB2312" w:eastAsia="仿宋_GB2312" w:cs="仿宋_GB2312"/>
          <w:color w:val="auto"/>
          <w:spacing w:val="-4"/>
          <w:sz w:val="32"/>
          <w:szCs w:val="32"/>
        </w:rPr>
        <w:t>大运河遗产保护规划经批准公布后，不得擅自变更；确需变更的，</w:t>
      </w:r>
      <w:r>
        <w:rPr>
          <w:rFonts w:hint="eastAsia" w:ascii="仿宋_GB2312" w:eastAsia="仿宋_GB2312" w:cs="仿宋_GB2312"/>
          <w:bCs/>
          <w:color w:val="auto"/>
          <w:sz w:val="32"/>
          <w:szCs w:val="32"/>
        </w:rPr>
        <w:t>应当依照原编制和报批程序执行。</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第九条</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 xml:space="preserve"> 市大运河遗产保护规划应当符合国家大运河遗产保护与管理总体规划、浙江省大运河世界文化遗产保护规划，并与嘉兴市城市总体规划、土地利用总体规划、环境保护规划相衔接。</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水利、航道、港口等专项规划以及大运河遗产沿线区域城市详细规划、镇规划、村庄规划，应当与市大运河遗产保护规划相协调。</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市大运河遗产保护规划应当包括下列主要内容：</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（一）保护目标和原则；</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（二）遗产构成要素</w:t>
      </w:r>
      <w:r>
        <w:rPr>
          <w:rFonts w:hint="eastAsia" w:ascii="仿宋_GB2312" w:eastAsia="仿宋_GB2312" w:cs="仿宋_GB2312"/>
          <w:bCs/>
          <w:color w:val="auto"/>
          <w:sz w:val="32"/>
          <w:szCs w:val="32"/>
          <w:lang w:eastAsia="zh-CN"/>
        </w:rPr>
        <w:t>；</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（三）遗产综合评估；</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（四）保护重点和分类保护措施；</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（五）遗产区和缓冲区</w:t>
      </w:r>
      <w:r>
        <w:rPr>
          <w:rFonts w:hint="eastAsia" w:ascii="仿宋_GB2312" w:eastAsia="仿宋_GB2312" w:cs="仿宋_GB2312"/>
          <w:bCs/>
          <w:color w:val="auto"/>
          <w:sz w:val="32"/>
          <w:szCs w:val="32"/>
          <w:lang w:eastAsia="zh-CN"/>
        </w:rPr>
        <w:t>区划</w:t>
      </w:r>
      <w:r>
        <w:rPr>
          <w:rFonts w:hint="eastAsia" w:ascii="仿宋_GB2312" w:eastAsia="仿宋_GB2312" w:cs="仿宋_GB2312"/>
          <w:bCs/>
          <w:color w:val="auto"/>
          <w:sz w:val="32"/>
          <w:szCs w:val="32"/>
        </w:rPr>
        <w:t>；</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（六）遗产展示、考古和综合环境整治规划以及相关规划建议；</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（七）保护规划分期实施方案。</w:t>
      </w:r>
    </w:p>
    <w:p>
      <w:pPr>
        <w:keepNext w:val="0"/>
        <w:keepLines w:val="0"/>
        <w:pageBreakBefore w:val="0"/>
        <w:kinsoku/>
        <w:wordWrap/>
        <w:overflowPunct/>
        <w:topLinePunct w:val="0"/>
        <w:autoSpaceDE/>
        <w:autoSpaceDN/>
        <w:bidi w:val="0"/>
        <w:adjustRightInd w:val="0"/>
        <w:snapToGrid w:val="0"/>
        <w:spacing w:before="0" w:after="0" w:line="560" w:lineRule="exact"/>
        <w:ind w:left="0" w:right="0" w:firstLine="634" w:firstLineChars="200"/>
        <w:textAlignment w:val="auto"/>
        <w:outlineLvl w:val="9"/>
        <w:rPr>
          <w:rFonts w:hint="eastAsia" w:ascii="仿宋_GB2312" w:eastAsia="仿宋_GB2312" w:cs="仿宋_GB2312"/>
          <w:color w:val="auto"/>
          <w:spacing w:val="-4"/>
          <w:sz w:val="32"/>
          <w:szCs w:val="32"/>
        </w:rPr>
      </w:pPr>
      <w:r>
        <w:rPr>
          <w:rFonts w:hint="eastAsia" w:ascii="仿宋_GB2312" w:eastAsia="仿宋_GB2312" w:cs="仿宋_GB2312"/>
          <w:color w:val="auto"/>
          <w:spacing w:val="-4"/>
          <w:sz w:val="32"/>
          <w:szCs w:val="32"/>
        </w:rPr>
        <w:t>遗产区和缓冲区</w:t>
      </w:r>
      <w:r>
        <w:rPr>
          <w:rFonts w:hint="eastAsia" w:ascii="仿宋_GB2312" w:eastAsia="仿宋_GB2312" w:cs="仿宋_GB2312"/>
          <w:color w:val="auto"/>
          <w:spacing w:val="-4"/>
          <w:sz w:val="32"/>
          <w:szCs w:val="32"/>
          <w:lang w:eastAsia="zh-CN"/>
        </w:rPr>
        <w:t>区划</w:t>
      </w:r>
      <w:r>
        <w:rPr>
          <w:rFonts w:hint="eastAsia" w:ascii="仿宋_GB2312" w:eastAsia="仿宋_GB2312" w:cs="仿宋_GB2312"/>
          <w:color w:val="auto"/>
          <w:spacing w:val="-4"/>
          <w:sz w:val="32"/>
          <w:szCs w:val="32"/>
        </w:rPr>
        <w:t>应当与文物保护单位保护范围和建设控制地带</w:t>
      </w:r>
      <w:r>
        <w:rPr>
          <w:rFonts w:hint="eastAsia" w:ascii="仿宋_GB2312" w:eastAsia="仿宋_GB2312" w:cs="仿宋_GB2312"/>
          <w:color w:val="auto"/>
          <w:spacing w:val="-4"/>
          <w:sz w:val="32"/>
          <w:szCs w:val="32"/>
          <w:lang w:eastAsia="zh-CN"/>
        </w:rPr>
        <w:t>区划</w:t>
      </w:r>
      <w:r>
        <w:rPr>
          <w:rFonts w:hint="eastAsia" w:ascii="仿宋_GB2312" w:eastAsia="仿宋_GB2312" w:cs="仿宋_GB2312"/>
          <w:color w:val="auto"/>
          <w:spacing w:val="-4"/>
          <w:sz w:val="32"/>
          <w:szCs w:val="32"/>
        </w:rPr>
        <w:t>相衔接。</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第十一条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市、县两级文物主管部门应当根据市大运河遗产保护规划设置大运河遗产标志牌以及大运河遗产区、缓冲区边界界桩，并建立大运河遗产所在地标识系统，向公众提供真实、完整的大运河遗产信息。</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color w:val="auto"/>
          <w:spacing w:val="-4"/>
          <w:sz w:val="32"/>
          <w:szCs w:val="32"/>
        </w:rPr>
      </w:pPr>
      <w:r>
        <w:rPr>
          <w:rFonts w:hint="eastAsia" w:ascii="黑体" w:eastAsia="黑体" w:cs="黑体"/>
          <w:bCs/>
          <w:color w:val="auto"/>
          <w:sz w:val="32"/>
          <w:szCs w:val="32"/>
        </w:rPr>
        <w:t>第十二条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color w:val="auto"/>
          <w:spacing w:val="-4"/>
          <w:sz w:val="32"/>
          <w:szCs w:val="32"/>
        </w:rPr>
        <w:t>在</w:t>
      </w:r>
      <w:r>
        <w:rPr>
          <w:rFonts w:hint="eastAsia" w:ascii="仿宋_GB2312" w:eastAsia="仿宋_GB2312" w:cs="仿宋_GB2312"/>
          <w:color w:val="auto"/>
          <w:spacing w:val="-4"/>
          <w:sz w:val="32"/>
          <w:szCs w:val="32"/>
          <w:lang w:eastAsia="zh-CN"/>
        </w:rPr>
        <w:t>大运河</w:t>
      </w:r>
      <w:r>
        <w:rPr>
          <w:rFonts w:hint="eastAsia" w:ascii="仿宋_GB2312" w:eastAsia="仿宋_GB2312" w:cs="仿宋_GB2312"/>
          <w:color w:val="auto"/>
          <w:spacing w:val="-4"/>
          <w:sz w:val="32"/>
          <w:szCs w:val="32"/>
        </w:rPr>
        <w:t>遗产区内，除大运河遗产保护和展示、景观维护、防洪排涝、清淤疏浚、水工设施维护、水文水质监测设施建设、航道和港口设施建设、跨河桥梁和隧道建设、游船码头和建筑物修缮等必要的建设工程外，不得进行其他工程建设或者爆破、钻探、挖掘、采石等作业。</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在大运河遗产区内进行工程建设，应当符合市大运河遗产保护规划</w:t>
      </w:r>
      <w:r>
        <w:rPr>
          <w:rFonts w:hint="eastAsia" w:ascii="仿宋_GB2312" w:eastAsia="仿宋_GB2312" w:cs="仿宋_GB2312"/>
          <w:bCs/>
          <w:color w:val="auto"/>
          <w:sz w:val="32"/>
          <w:szCs w:val="32"/>
          <w:lang w:eastAsia="zh-CN"/>
        </w:rPr>
        <w:t>，</w:t>
      </w:r>
      <w:r>
        <w:rPr>
          <w:rFonts w:hint="eastAsia" w:ascii="仿宋_GB2312" w:eastAsia="仿宋_GB2312" w:cs="仿宋_GB2312"/>
          <w:bCs/>
          <w:color w:val="auto"/>
          <w:sz w:val="32"/>
          <w:szCs w:val="32"/>
        </w:rPr>
        <w:t>避开大运河水工遗存相关古迹、遗址，</w:t>
      </w:r>
      <w:r>
        <w:rPr>
          <w:rFonts w:hint="eastAsia" w:ascii="仿宋_GB2312" w:eastAsia="仿宋_GB2312" w:cs="仿宋_GB2312"/>
          <w:bCs/>
          <w:color w:val="auto"/>
          <w:sz w:val="32"/>
          <w:szCs w:val="32"/>
          <w:lang w:eastAsia="zh-CN"/>
        </w:rPr>
        <w:t>并</w:t>
      </w:r>
      <w:r>
        <w:rPr>
          <w:rFonts w:hint="eastAsia" w:ascii="仿宋_GB2312" w:eastAsia="仿宋_GB2312" w:cs="仿宋_GB2312"/>
          <w:bCs/>
          <w:color w:val="auto"/>
          <w:sz w:val="32"/>
          <w:szCs w:val="32"/>
        </w:rPr>
        <w:t>采取对大运河遗产影响最小的施工工艺。因特殊情况不能避开的，应当按照有关法律、法规的规定采取保护措施，实施原址保护。</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第十三条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在大运河遗产区、缓冲区内进行建设工程，应当与大运河遗产的历史风貌和景观环境相协调。</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第十四条</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 xml:space="preserve"> 市、县两级人民政府应当在符合市大运河遗产保护规划的前提下，按照适度、合理、可持续的要求，充分发挥大运河遗产文化传播、水利航运、旅游休憩等功能。鼓励依法开展下列活动：</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（一）建立运河传统民俗档案，发展运河特色文化产业；</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（二）开发、推广运河特色旅游产品和旅游线路；</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（三）建设展览馆、公园、参观游览区等;</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（四）利用遗产河道，发挥历史延续的航运功能、水利功能;</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bookmarkStart w:id="0" w:name="_GoBack"/>
      <w:bookmarkEnd w:id="0"/>
      <w:r>
        <w:rPr>
          <w:rFonts w:hint="eastAsia" w:ascii="仿宋_GB2312" w:eastAsia="仿宋_GB2312" w:cs="仿宋_GB2312"/>
          <w:bCs/>
          <w:color w:val="auto"/>
          <w:sz w:val="32"/>
          <w:szCs w:val="32"/>
        </w:rPr>
        <w:t>（五）其他有利于大运河遗产保护和文化传承的活动。</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第十五条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禁止从事下列行为：</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（一）刻划、涂污或者以其他方式损毁</w:t>
      </w:r>
      <w:r>
        <w:rPr>
          <w:rFonts w:hint="eastAsia" w:ascii="仿宋_GB2312" w:eastAsia="仿宋_GB2312" w:cs="仿宋_GB2312"/>
          <w:color w:val="auto"/>
          <w:sz w:val="32"/>
          <w:szCs w:val="32"/>
        </w:rPr>
        <w:t>不可移动文物</w:t>
      </w:r>
      <w:r>
        <w:rPr>
          <w:rFonts w:hint="eastAsia" w:ascii="仿宋_GB2312" w:eastAsia="仿宋_GB2312" w:cs="仿宋_GB2312"/>
          <w:bCs/>
          <w:color w:val="auto"/>
          <w:sz w:val="32"/>
          <w:szCs w:val="32"/>
        </w:rPr>
        <w:t>；</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（二）擅自占用、填堵、围圈、遮掩水域；</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（三）损毁</w:t>
      </w:r>
      <w:r>
        <w:rPr>
          <w:rFonts w:hint="eastAsia" w:ascii="仿宋_GB2312" w:eastAsia="仿宋_GB2312" w:cs="仿宋_GB2312"/>
          <w:color w:val="auto"/>
          <w:sz w:val="32"/>
          <w:szCs w:val="32"/>
        </w:rPr>
        <w:t>防护、警示设施;</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（四）损毁标志牌、界桩；</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仿宋_GB2312" w:eastAsia="仿宋_GB2312" w:cs="仿宋_GB2312"/>
          <w:bCs/>
          <w:color w:val="auto"/>
          <w:sz w:val="32"/>
          <w:szCs w:val="32"/>
        </w:rPr>
        <w:t>（五）其他破坏大运河遗产的行为。</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第十六条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在大运河遗产的保护范围和建设控制地带内进行工程建设或者开展利用活动，法律、法规已有规定的，从其规定。</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第十七条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违反本条例规定的行为，法律、法规已有法律责任规定的，从其规定。</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第十八条</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 xml:space="preserve"> 违反本条例第十五条第三项规定，损毁防护、警示设施的，由文物主管部门责令改正，给予警告，可以并处五千元以上五万元以下罚款。</w:t>
      </w:r>
    </w:p>
    <w:p>
      <w:pPr>
        <w:pStyle w:val="8"/>
        <w:keepNext w:val="0"/>
        <w:keepLines w:val="0"/>
        <w:pageBreakBefore w:val="0"/>
        <w:kinsoku/>
        <w:wordWrap/>
        <w:overflowPunct/>
        <w:topLinePunct w:val="0"/>
        <w:autoSpaceDE/>
        <w:autoSpaceDN/>
        <w:bidi w:val="0"/>
        <w:spacing w:before="0" w:after="0" w:line="560" w:lineRule="exact"/>
        <w:ind w:left="0" w:right="0" w:firstLine="650" w:firstLineChars="200"/>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第十九条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文物主管部门、其他有关部门及其工作人员在大运河遗产保护工作中滥用职权、徇私舞弊、玩忽职守的，由有权机关依法</w:t>
      </w:r>
      <w:r>
        <w:rPr>
          <w:rFonts w:hint="eastAsia" w:ascii="仿宋_GB2312" w:eastAsia="仿宋_GB2312" w:cs="仿宋_GB2312"/>
          <w:bCs/>
          <w:sz w:val="32"/>
          <w:szCs w:val="32"/>
        </w:rPr>
        <w:t>给予</w:t>
      </w:r>
      <w:r>
        <w:rPr>
          <w:rFonts w:hint="eastAsia" w:ascii="仿宋_GB2312" w:eastAsia="仿宋_GB2312" w:cs="仿宋_GB2312"/>
          <w:bCs/>
          <w:color w:val="auto"/>
          <w:sz w:val="32"/>
          <w:szCs w:val="32"/>
        </w:rPr>
        <w:t>处分。</w:t>
      </w:r>
    </w:p>
    <w:p>
      <w:pPr>
        <w:keepNext w:val="0"/>
        <w:keepLines w:val="0"/>
        <w:pageBreakBefore w:val="0"/>
        <w:kinsoku/>
        <w:wordWrap/>
        <w:overflowPunct/>
        <w:topLinePunct w:val="0"/>
        <w:autoSpaceDE/>
        <w:autoSpaceDN/>
        <w:bidi w:val="0"/>
        <w:spacing w:before="0" w:after="0" w:line="560" w:lineRule="exact"/>
        <w:ind w:left="0" w:right="0" w:firstLine="626" w:firstLineChars="200"/>
        <w:textAlignment w:val="auto"/>
        <w:outlineLvl w:val="9"/>
        <w:rPr>
          <w:rFonts w:hint="eastAsia" w:ascii="仿宋_GB2312" w:cs="仿宋_GB2312"/>
          <w:bCs/>
          <w:spacing w:val="0"/>
          <w:kern w:val="0"/>
          <w:szCs w:val="32"/>
        </w:rPr>
      </w:pPr>
      <w:r>
        <w:rPr>
          <w:rFonts w:hint="eastAsia" w:ascii="黑体" w:eastAsia="黑体" w:cs="黑体"/>
          <w:bCs/>
          <w:color w:val="auto"/>
          <w:kern w:val="0"/>
          <w:sz w:val="32"/>
          <w:szCs w:val="32"/>
          <w:lang w:val="en-US" w:eastAsia="zh-CN" w:bidi="ar-SA"/>
        </w:rPr>
        <w:t>第二十条</w:t>
      </w:r>
      <w:r>
        <w:rPr>
          <w:rFonts w:hint="eastAsia" w:ascii="仿宋_GB2312" w:cs="仿宋_GB2312"/>
          <w:bCs/>
          <w:spacing w:val="0"/>
          <w:kern w:val="0"/>
          <w:szCs w:val="32"/>
        </w:rPr>
        <w:t xml:space="preserve"> </w:t>
      </w:r>
      <w:r>
        <w:rPr>
          <w:rFonts w:hint="eastAsia" w:ascii="仿宋_GB2312" w:cs="仿宋_GB2312"/>
          <w:bCs/>
          <w:spacing w:val="0"/>
          <w:kern w:val="0"/>
          <w:szCs w:val="32"/>
          <w:lang w:val="en-US" w:eastAsia="zh-CN"/>
        </w:rPr>
        <w:t xml:space="preserve"> </w:t>
      </w:r>
      <w:r>
        <w:rPr>
          <w:rFonts w:hint="eastAsia" w:ascii="仿宋_GB2312" w:cs="仿宋_GB2312"/>
          <w:bCs/>
          <w:spacing w:val="0"/>
          <w:kern w:val="0"/>
          <w:szCs w:val="32"/>
        </w:rPr>
        <w:t>嘉兴经济技术开发区管委会应当做好本区域内大运河遗产的保护工作，并指定工作机构负责。行政处罚工作由</w:t>
      </w:r>
      <w:r>
        <w:rPr>
          <w:rFonts w:hint="eastAsia" w:ascii="仿宋_GB2312" w:cs="仿宋_GB2312"/>
          <w:bCs/>
          <w:spacing w:val="0"/>
          <w:kern w:val="0"/>
          <w:szCs w:val="32"/>
          <w:lang w:eastAsia="zh-CN"/>
        </w:rPr>
        <w:t>有关</w:t>
      </w:r>
      <w:r>
        <w:rPr>
          <w:rFonts w:hint="eastAsia" w:ascii="仿宋_GB2312" w:cs="仿宋_GB2312"/>
          <w:bCs/>
          <w:spacing w:val="0"/>
          <w:kern w:val="0"/>
          <w:szCs w:val="32"/>
        </w:rPr>
        <w:t>主管部门</w:t>
      </w:r>
      <w:r>
        <w:rPr>
          <w:rFonts w:hint="eastAsia" w:ascii="仿宋_GB2312" w:cs="仿宋_GB2312"/>
          <w:bCs/>
          <w:spacing w:val="0"/>
          <w:kern w:val="0"/>
          <w:szCs w:val="32"/>
          <w:lang w:eastAsia="zh-CN"/>
        </w:rPr>
        <w:t>依法</w:t>
      </w:r>
      <w:r>
        <w:rPr>
          <w:rFonts w:hint="eastAsia" w:ascii="仿宋_GB2312" w:cs="仿宋_GB2312"/>
          <w:bCs/>
          <w:spacing w:val="0"/>
          <w:kern w:val="0"/>
          <w:szCs w:val="32"/>
        </w:rPr>
        <w:t>实施。</w:t>
      </w:r>
    </w:p>
    <w:p>
      <w:pPr>
        <w:keepNext w:val="0"/>
        <w:keepLines w:val="0"/>
        <w:pageBreakBefore w:val="0"/>
        <w:kinsoku/>
        <w:wordWrap/>
        <w:overflowPunct/>
        <w:topLinePunct w:val="0"/>
        <w:autoSpaceDE/>
        <w:autoSpaceDN/>
        <w:bidi w:val="0"/>
        <w:spacing w:before="0" w:after="0" w:line="560" w:lineRule="exact"/>
        <w:ind w:left="0" w:right="0" w:firstLine="626" w:firstLineChars="200"/>
        <w:textAlignment w:val="auto"/>
        <w:outlineLvl w:val="9"/>
        <w:rPr>
          <w:rFonts w:hint="eastAsia" w:ascii="仿宋_GB2312" w:eastAsia="仿宋_GB2312" w:cs="仿宋_GB2312"/>
          <w:b w:val="0"/>
          <w:bCs/>
          <w:color w:val="auto"/>
          <w:sz w:val="32"/>
          <w:szCs w:val="32"/>
          <w:u w:val="none" w:color="auto"/>
          <w:shd w:val="clear" w:color="auto" w:fill="FFFFFF"/>
          <w:lang w:val="en-US" w:eastAsia="zh-CN"/>
        </w:rPr>
      </w:pPr>
      <w:r>
        <w:rPr>
          <w:rFonts w:hint="eastAsia" w:ascii="黑体" w:eastAsia="黑体" w:cs="黑体"/>
          <w:bCs/>
          <w:color w:val="auto"/>
          <w:kern w:val="0"/>
          <w:sz w:val="32"/>
          <w:szCs w:val="32"/>
          <w:lang w:val="en-US" w:eastAsia="zh-CN" w:bidi="ar-SA"/>
        </w:rPr>
        <w:t>第二十一条</w:t>
      </w:r>
      <w:r>
        <w:rPr>
          <w:rFonts w:hint="eastAsia" w:ascii="仿宋_GB2312" w:eastAsia="仿宋_GB2312" w:cs="仿宋_GB2312"/>
          <w:bCs/>
          <w:color w:val="auto"/>
          <w:sz w:val="32"/>
          <w:szCs w:val="32"/>
          <w:u w:val="none" w:color="auto"/>
          <w:lang w:val="en-US" w:eastAsia="zh-CN"/>
        </w:rPr>
        <w:t xml:space="preserve">  </w:t>
      </w:r>
      <w:r>
        <w:rPr>
          <w:rFonts w:hint="eastAsia" w:ascii="仿宋_GB2312" w:eastAsia="仿宋_GB2312" w:cs="仿宋_GB2312"/>
          <w:b w:val="0"/>
          <w:bCs/>
          <w:color w:val="auto"/>
          <w:sz w:val="32"/>
          <w:szCs w:val="32"/>
          <w:u w:val="none" w:color="auto"/>
          <w:lang w:val="en-US" w:eastAsia="zh-CN"/>
        </w:rPr>
        <w:t>对按照世界文化遗产申报相关要求和程序，补充列入大运河遗产的，依照本条例予以保护。</w:t>
      </w:r>
    </w:p>
    <w:p>
      <w:pPr>
        <w:pStyle w:val="20"/>
        <w:keepNext w:val="0"/>
        <w:keepLines w:val="0"/>
        <w:pageBreakBefore w:val="0"/>
        <w:widowControl/>
        <w:kinsoku/>
        <w:wordWrap/>
        <w:overflowPunct/>
        <w:topLinePunct w:val="0"/>
        <w:autoSpaceDE/>
        <w:autoSpaceDN/>
        <w:bidi w:val="0"/>
        <w:adjustRightInd/>
        <w:snapToGrid/>
        <w:spacing w:before="0" w:after="0" w:line="560" w:lineRule="exact"/>
        <w:ind w:left="0" w:right="0" w:firstLine="626" w:firstLineChars="200"/>
        <w:jc w:val="both"/>
        <w:textAlignment w:val="auto"/>
        <w:outlineLvl w:val="9"/>
        <w:rPr>
          <w:rFonts w:hint="eastAsia" w:ascii="仿宋_GB2312" w:eastAsia="仿宋_GB2312" w:cs="仿宋_GB2312"/>
          <w:bCs/>
          <w:color w:val="auto"/>
          <w:sz w:val="32"/>
          <w:szCs w:val="32"/>
        </w:rPr>
      </w:pPr>
      <w:r>
        <w:rPr>
          <w:rFonts w:hint="eastAsia" w:ascii="黑体" w:eastAsia="黑体" w:cs="黑体"/>
          <w:bCs/>
          <w:color w:val="auto"/>
          <w:sz w:val="32"/>
          <w:szCs w:val="32"/>
        </w:rPr>
        <w:t>第二十</w:t>
      </w:r>
      <w:r>
        <w:rPr>
          <w:rFonts w:hint="eastAsia" w:ascii="黑体" w:eastAsia="黑体" w:cs="黑体"/>
          <w:bCs/>
          <w:color w:val="auto"/>
          <w:sz w:val="32"/>
          <w:szCs w:val="32"/>
          <w:lang w:eastAsia="zh-CN"/>
        </w:rPr>
        <w:t>二</w:t>
      </w:r>
      <w:r>
        <w:rPr>
          <w:rFonts w:hint="eastAsia" w:ascii="黑体" w:eastAsia="黑体" w:cs="黑体"/>
          <w:bCs/>
          <w:color w:val="auto"/>
          <w:sz w:val="32"/>
          <w:szCs w:val="32"/>
        </w:rPr>
        <w:t>条</w:t>
      </w:r>
      <w:r>
        <w:rPr>
          <w:rFonts w:hint="eastAsia" w:ascii="仿宋_GB2312" w:eastAsia="仿宋_GB2312" w:cs="仿宋_GB2312"/>
          <w:bCs/>
          <w:color w:val="auto"/>
          <w:sz w:val="32"/>
          <w:szCs w:val="32"/>
        </w:rPr>
        <w:t xml:space="preserve"> </w:t>
      </w:r>
      <w:r>
        <w:rPr>
          <w:rFonts w:hint="eastAsia" w:ascii="仿宋_GB2312" w:eastAsia="仿宋_GB2312" w:cs="仿宋_GB2312"/>
          <w:bCs/>
          <w:color w:val="auto"/>
          <w:sz w:val="32"/>
          <w:szCs w:val="32"/>
          <w:lang w:val="en-US" w:eastAsia="zh-CN"/>
        </w:rPr>
        <w:t xml:space="preserve"> </w:t>
      </w:r>
      <w:r>
        <w:rPr>
          <w:rFonts w:hint="eastAsia" w:ascii="仿宋_GB2312" w:eastAsia="仿宋_GB2312" w:cs="仿宋_GB2312"/>
          <w:bCs/>
          <w:color w:val="auto"/>
          <w:sz w:val="32"/>
          <w:szCs w:val="32"/>
        </w:rPr>
        <w:t>本条例自2018年</w:t>
      </w:r>
      <w:r>
        <w:rPr>
          <w:rFonts w:hint="eastAsia" w:ascii="仿宋_GB2312" w:cs="仿宋_GB2312"/>
          <w:bCs/>
          <w:color w:val="auto"/>
          <w:sz w:val="32"/>
          <w:szCs w:val="32"/>
          <w:lang w:val="en-US" w:eastAsia="zh-CN"/>
        </w:rPr>
        <w:t>8</w:t>
      </w:r>
      <w:r>
        <w:rPr>
          <w:rFonts w:hint="eastAsia" w:ascii="仿宋_GB2312" w:eastAsia="仿宋_GB2312" w:cs="仿宋_GB2312"/>
          <w:bCs/>
          <w:color w:val="auto"/>
          <w:sz w:val="32"/>
          <w:szCs w:val="32"/>
        </w:rPr>
        <w:t>月</w:t>
      </w:r>
      <w:r>
        <w:rPr>
          <w:rFonts w:hint="eastAsia" w:ascii="仿宋_GB2312" w:cs="仿宋_GB2312"/>
          <w:bCs/>
          <w:color w:val="auto"/>
          <w:sz w:val="32"/>
          <w:szCs w:val="32"/>
          <w:lang w:val="en-US" w:eastAsia="zh-CN"/>
        </w:rPr>
        <w:t>1</w:t>
      </w:r>
      <w:r>
        <w:rPr>
          <w:rFonts w:hint="eastAsia" w:ascii="仿宋_GB2312" w:eastAsia="仿宋_GB2312" w:cs="仿宋_GB2312"/>
          <w:bCs/>
          <w:color w:val="auto"/>
          <w:sz w:val="32"/>
          <w:szCs w:val="32"/>
        </w:rPr>
        <w:t>日起施行。</w:t>
      </w:r>
    </w:p>
    <w:p>
      <w:pPr>
        <w:pStyle w:val="20"/>
        <w:widowControl/>
        <w:wordWrap/>
        <w:adjustRightInd/>
        <w:snapToGrid/>
        <w:spacing w:before="0" w:after="0" w:line="560" w:lineRule="exact"/>
        <w:ind w:left="0" w:right="0" w:firstLine="592"/>
        <w:jc w:val="both"/>
        <w:textAlignment w:val="auto"/>
        <w:outlineLvl w:val="9"/>
        <w:rPr>
          <w:rFonts w:hint="eastAsia" w:ascii="仿宋_GB2312" w:eastAsia="仿宋_GB2312" w:cs="仿宋_GB2312"/>
          <w:bCs/>
          <w:color w:val="auto"/>
          <w:sz w:val="32"/>
          <w:szCs w:val="32"/>
        </w:rPr>
      </w:pPr>
    </w:p>
    <w:p>
      <w:pPr>
        <w:pStyle w:val="20"/>
        <w:widowControl/>
        <w:wordWrap/>
        <w:adjustRightInd/>
        <w:snapToGrid/>
        <w:spacing w:before="0" w:after="0" w:line="560" w:lineRule="exact"/>
        <w:ind w:left="0" w:right="0" w:firstLine="592"/>
        <w:jc w:val="both"/>
        <w:textAlignment w:val="auto"/>
        <w:outlineLvl w:val="9"/>
        <w:rPr>
          <w:rFonts w:hint="eastAsia" w:ascii="仿宋_GB2312" w:eastAsia="仿宋_GB2312" w:cs="仿宋_GB2312"/>
          <w:bCs/>
          <w:color w:val="auto"/>
          <w:sz w:val="32"/>
          <w:szCs w:val="32"/>
        </w:rPr>
      </w:pPr>
    </w:p>
    <w:p>
      <w:pPr>
        <w:widowControl w:val="0"/>
        <w:wordWrap/>
        <w:adjustRightInd/>
        <w:snapToGrid/>
        <w:spacing w:before="0" w:after="0" w:line="560" w:lineRule="exact"/>
        <w:ind w:right="0"/>
        <w:jc w:val="both"/>
        <w:textAlignment w:val="auto"/>
        <w:outlineLvl w:val="9"/>
        <w:rPr>
          <w:rFonts w:hint="eastAsia" w:ascii="仿宋_GB2312" w:eastAsia="仿宋_GB2312" w:cs="仿宋_GB2312"/>
          <w:bCs/>
          <w:color w:val="auto"/>
          <w:sz w:val="32"/>
          <w:szCs w:val="32"/>
        </w:rPr>
      </w:pPr>
    </w:p>
    <w:sectPr>
      <w:footerReference r:id="rId5" w:type="default"/>
      <w:footerReference r:id="rId6" w:type="even"/>
      <w:pgSz w:w="11906" w:h="16838"/>
      <w:pgMar w:top="2013" w:right="1474" w:bottom="1899" w:left="1588" w:header="851" w:footer="1037" w:gutter="0"/>
      <w:cols w:space="720" w:num="1"/>
      <w:docGrid w:type="linesAndChars" w:linePitch="590" w:charSpace="12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overflowPunct w:val="0"/>
      <w:autoSpaceDE w:val="0"/>
      <w:autoSpaceDN w:val="0"/>
      <w:spacing w:line="478" w:lineRule="auto"/>
      <w:ind w:right="308" w:rightChars="100"/>
      <w:jc w:val="right"/>
      <w:rPr>
        <w:rFonts w:ascii="楷体_GB2312" w:eastAsia="楷体_GB2312"/>
        <w:sz w:val="28"/>
      </w:rPr>
    </w:pPr>
    <w:r>
      <w:rPr>
        <w:rStyle w:val="13"/>
        <w:rFonts w:hint="eastAsia" w:ascii="宋体" w:eastAsia="宋体"/>
        <w:sz w:val="28"/>
      </w:rPr>
      <w:t>—</w:t>
    </w:r>
    <w:r>
      <w:rPr>
        <w:rStyle w:val="13"/>
        <w:rFonts w:hint="eastAsia" w:ascii="宋体" w:eastAsia="宋体" w:cs="宋体"/>
        <w:sz w:val="28"/>
        <w:szCs w:val="28"/>
      </w:rPr>
      <w:fldChar w:fldCharType="begin"/>
    </w:r>
    <w:r>
      <w:rPr>
        <w:rStyle w:val="13"/>
        <w:rFonts w:hint="eastAsia" w:ascii="宋体" w:eastAsia="宋体" w:cs="宋体"/>
        <w:sz w:val="28"/>
        <w:szCs w:val="28"/>
      </w:rPr>
      <w:instrText xml:space="preserve"> PAGE \* MERGEFORMAT </w:instrText>
    </w:r>
    <w:r>
      <w:rPr>
        <w:rFonts w:hint="eastAsia" w:ascii="宋体" w:eastAsia="宋体" w:cs="宋体"/>
        <w:sz w:val="28"/>
        <w:szCs w:val="28"/>
      </w:rPr>
      <w:fldChar w:fldCharType="separate"/>
    </w:r>
    <w:r>
      <w:t>1</w:t>
    </w:r>
    <w:r>
      <w:rPr>
        <w:rFonts w:hint="eastAsia" w:ascii="宋体" w:eastAsia="宋体" w:cs="宋体"/>
        <w:sz w:val="28"/>
        <w:szCs w:val="28"/>
      </w:rPr>
      <w:fldChar w:fldCharType="end"/>
    </w:r>
    <w:r>
      <w:rPr>
        <w:rStyle w:val="13"/>
        <w:rFonts w:hint="eastAsia" w:asci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470" w:lineRule="auto"/>
      <w:ind w:left="308" w:leftChars="100"/>
      <w:jc w:val="left"/>
      <w:rPr>
        <w:rStyle w:val="13"/>
        <w:rFonts w:ascii="宋体" w:eastAsia="宋体"/>
        <w:sz w:val="28"/>
      </w:rPr>
    </w:pPr>
    <w:r>
      <w:rPr>
        <w:rStyle w:val="13"/>
        <w:rFonts w:hint="eastAsia" w:ascii="宋体" w:eastAsia="宋体"/>
        <w:sz w:val="28"/>
      </w:rPr>
      <w:t>—</w:t>
    </w:r>
    <w:r>
      <w:rPr>
        <w:rStyle w:val="13"/>
        <w:rFonts w:hint="eastAsia" w:ascii="宋体" w:eastAsia="宋体"/>
        <w:sz w:val="28"/>
      </w:rPr>
      <w:fldChar w:fldCharType="begin"/>
    </w:r>
    <w:r>
      <w:rPr>
        <w:rStyle w:val="13"/>
        <w:rFonts w:hint="eastAsia" w:ascii="宋体" w:eastAsia="宋体"/>
        <w:sz w:val="28"/>
      </w:rPr>
      <w:instrText xml:space="preserve"> PAGE </w:instrText>
    </w:r>
    <w:r>
      <w:rPr>
        <w:rFonts w:hint="eastAsia" w:ascii="宋体" w:eastAsia="宋体"/>
        <w:sz w:val="28"/>
      </w:rPr>
      <w:fldChar w:fldCharType="separate"/>
    </w:r>
    <w:r>
      <w:rPr>
        <w:rStyle w:val="13"/>
        <w:rFonts w:ascii="宋体" w:eastAsia="宋体"/>
        <w:sz w:val="28"/>
      </w:rPr>
      <w:t>2</w:t>
    </w:r>
    <w:r>
      <w:rPr>
        <w:rFonts w:hint="eastAsia" w:ascii="宋体" w:eastAsia="宋体"/>
        <w:sz w:val="28"/>
      </w:rPr>
      <w:fldChar w:fldCharType="end"/>
    </w:r>
    <w:r>
      <w:rPr>
        <w:rStyle w:val="13"/>
        <w:rFonts w:hint="eastAsia" w:asci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FC8A8"/>
    <w:multiLevelType w:val="multilevel"/>
    <w:tmpl w:val="A0BFC8A8"/>
    <w:lvl w:ilvl="0" w:tentative="0">
      <w:start w:val="1"/>
      <w:numFmt w:val="chineseCountingThousand"/>
      <w:pStyle w:val="17"/>
      <w:suff w:val="space"/>
      <w:lvlText w:val="第%1章"/>
      <w:lvlJc w:val="left"/>
      <w:pPr>
        <w:tabs>
          <w:tab w:val="left" w:pos="0"/>
        </w:tabs>
        <w:ind w:left="0" w:firstLine="454"/>
      </w:pPr>
      <w:rPr>
        <w:rFonts w:hint="eastAsia" w:eastAsia="方正黑体_GBK"/>
        <w:color w:val="auto"/>
      </w:rPr>
    </w:lvl>
    <w:lvl w:ilvl="1" w:tentative="0">
      <w:start w:val="1"/>
      <w:numFmt w:val="chineseCountingThousand"/>
      <w:suff w:val="space"/>
      <w:lvlText w:val="第%2条"/>
      <w:lvlJc w:val="left"/>
      <w:pPr>
        <w:tabs>
          <w:tab w:val="left" w:pos="0"/>
        </w:tabs>
        <w:ind w:left="0" w:firstLine="0"/>
      </w:pPr>
      <w:rPr>
        <w:rFonts w:hint="eastAsia" w:eastAsia="方正黑体_GBK"/>
        <w:color w:val="auto"/>
      </w:rPr>
    </w:lvl>
    <w:lvl w:ilvl="2" w:tentative="0">
      <w:start w:val="1"/>
      <w:numFmt w:val="chineseCountingThousand"/>
      <w:suff w:val="space"/>
      <w:lvlText w:val="第%3条"/>
      <w:lvlJc w:val="left"/>
      <w:pPr>
        <w:tabs>
          <w:tab w:val="left" w:pos="0"/>
        </w:tabs>
        <w:ind w:left="0" w:firstLine="454"/>
      </w:pPr>
      <w:rPr>
        <w:rFonts w:hint="eastAsia"/>
        <w:color w:val="auto"/>
      </w:rPr>
    </w:lvl>
    <w:lvl w:ilvl="3" w:tentative="0">
      <w:start w:val="1"/>
      <w:numFmt w:val="chineseCountingThousand"/>
      <w:suff w:val="space"/>
      <w:lvlText w:val="（%4）"/>
      <w:lvlJc w:val="left"/>
      <w:pPr>
        <w:tabs>
          <w:tab w:val="left" w:pos="0"/>
        </w:tabs>
        <w:ind w:left="0" w:firstLine="340"/>
      </w:pPr>
      <w:rPr>
        <w:rFonts w:hint="eastAsia"/>
        <w:color w:val="auto"/>
      </w:rPr>
    </w:lvl>
    <w:lvl w:ilvl="4" w:tentative="0">
      <w:start w:val="1"/>
      <w:numFmt w:val="decimal"/>
      <w:suff w:val="space"/>
      <w:lvlText w:val="%5．"/>
      <w:lvlJc w:val="left"/>
      <w:pPr>
        <w:tabs>
          <w:tab w:val="left" w:pos="0"/>
        </w:tabs>
        <w:ind w:left="0" w:firstLine="454"/>
      </w:pPr>
      <w:rPr>
        <w:rFonts w:hint="eastAsia"/>
        <w:color w:val="auto"/>
      </w:rPr>
    </w:lvl>
    <w:lvl w:ilvl="5" w:tentative="0">
      <w:start w:val="1"/>
      <w:numFmt w:val="decimal"/>
      <w:suff w:val="space"/>
      <w:lvlText w:val="（%6）"/>
      <w:lvlJc w:val="left"/>
      <w:pPr>
        <w:tabs>
          <w:tab w:val="left" w:pos="0"/>
        </w:tabs>
        <w:ind w:left="0" w:firstLine="340"/>
      </w:pPr>
      <w:rPr>
        <w:rFonts w:hint="eastAsia"/>
        <w:color w:val="auto"/>
      </w:rPr>
    </w:lvl>
    <w:lvl w:ilvl="6" w:tentative="0">
      <w:start w:val="1"/>
      <w:numFmt w:val="decimalEnclosedCircle"/>
      <w:suff w:val="space"/>
      <w:lvlText w:val="%7 "/>
      <w:lvlJc w:val="left"/>
      <w:pPr>
        <w:tabs>
          <w:tab w:val="left" w:pos="0"/>
        </w:tabs>
        <w:ind w:left="0" w:firstLine="454"/>
      </w:pPr>
      <w:rPr>
        <w:rFonts w:hint="eastAsia"/>
        <w:color w:val="auto"/>
      </w:rPr>
    </w:lvl>
    <w:lvl w:ilvl="7" w:tentative="0">
      <w:start w:val="1"/>
      <w:numFmt w:val="decimal"/>
      <w:suff w:val="space"/>
      <w:lvlText w:val="%8）"/>
      <w:lvlJc w:val="left"/>
      <w:pPr>
        <w:tabs>
          <w:tab w:val="left" w:pos="0"/>
        </w:tabs>
        <w:ind w:left="0" w:firstLine="454"/>
      </w:pPr>
      <w:rPr>
        <w:rFonts w:hint="eastAsia"/>
        <w:color w:val="auto"/>
      </w:rPr>
    </w:lvl>
    <w:lvl w:ilvl="8" w:tentative="0">
      <w:start w:val="1"/>
      <w:numFmt w:val="none"/>
      <w:suff w:val="space"/>
      <w:lvlText w:val="a．"/>
      <w:lvlJc w:val="left"/>
      <w:pPr>
        <w:tabs>
          <w:tab w:val="left" w:pos="0"/>
        </w:tabs>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dit="readOnly" w:enforcement="0"/>
  <w:defaultTabStop w:val="720"/>
  <w:evenAndOddHeaders w:val="1"/>
  <w:drawingGridHorizontalSpacing w:val="308"/>
  <w:drawingGridVerticalSpacing w:val="295"/>
  <w:displayHorizontalDrawingGridEvery w:val="0"/>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ExpandShiftReturn/>
    <w:adjustLineHeightInTable/>
    <w:useFELayout/>
    <w:compatSetting w:name="compatibilityMode" w:uri="http://schemas.microsoft.com/office/word" w:val="12"/>
  </w:compat>
  <w:docVars>
    <w:docVar w:name="iDocStyle" w:val="2"/>
  </w:docVars>
  <w:rsids>
    <w:rsidRoot w:val="00000000"/>
    <w:rsid w:val="52EC23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pacing w:line="240" w:lineRule="atLeast"/>
      <w:jc w:val="both"/>
    </w:pPr>
    <w:rPr>
      <w:rFonts w:ascii="Times New Roman" w:hAnsi="Times New Roman" w:eastAsia="仿宋_GB2312" w:cs="Times New Roman"/>
      <w:spacing w:val="-6"/>
      <w:kern w:val="2"/>
      <w:sz w:val="32"/>
      <w:szCs w:val="20"/>
      <w:lang w:val="en-US" w:eastAsia="zh-CN" w:bidi="ar-SA"/>
    </w:rPr>
  </w:style>
  <w:style w:type="paragraph" w:styleId="5">
    <w:name w:val="heading 1"/>
    <w:basedOn w:val="1"/>
    <w:next w:val="1"/>
    <w:uiPriority w:val="0"/>
    <w:pPr>
      <w:keepNext/>
      <w:keepLines/>
      <w:widowControl w:val="0"/>
      <w:spacing w:before="340" w:after="330" w:line="578" w:lineRule="auto"/>
      <w:outlineLvl w:val="0"/>
    </w:pPr>
    <w:rPr>
      <w:b/>
      <w:bCs/>
      <w:kern w:val="44"/>
      <w:sz w:val="44"/>
    </w:rPr>
  </w:style>
  <w:style w:type="paragraph" w:styleId="6">
    <w:name w:val="heading 2"/>
    <w:basedOn w:val="1"/>
    <w:next w:val="1"/>
    <w:uiPriority w:val="0"/>
    <w:pPr>
      <w:keepNext/>
      <w:keepLines/>
      <w:widowControl w:val="0"/>
      <w:spacing w:before="260" w:after="260" w:line="415" w:lineRule="auto"/>
      <w:outlineLvl w:val="1"/>
    </w:pPr>
    <w:rPr>
      <w:rFonts w:ascii="Luxi Sans" w:hAnsi="Luxi Sans" w:eastAsia="黑体"/>
      <w:b/>
      <w:sz w:val="32"/>
    </w:rPr>
  </w:style>
  <w:style w:type="paragraph" w:styleId="7">
    <w:name w:val="heading 3"/>
    <w:basedOn w:val="1"/>
    <w:next w:val="1"/>
    <w:uiPriority w:val="0"/>
    <w:pPr>
      <w:keepNext/>
      <w:keepLines/>
      <w:widowControl w:val="0"/>
      <w:spacing w:before="260" w:after="260" w:line="415" w:lineRule="auto"/>
      <w:outlineLvl w:val="2"/>
    </w:pPr>
    <w:rPr>
      <w:b/>
      <w:sz w:val="32"/>
    </w:rPr>
  </w:style>
  <w:style w:type="character" w:default="1" w:styleId="12">
    <w:name w:val="Default Paragraph Font"/>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2">
    <w:name w:val="正文首行缩进1"/>
    <w:basedOn w:val="3"/>
    <w:qFormat/>
    <w:uiPriority w:val="0"/>
    <w:pPr>
      <w:ind w:firstLine="100" w:firstLineChars="100"/>
    </w:pPr>
  </w:style>
  <w:style w:type="paragraph" w:styleId="3">
    <w:name w:val="Body Text"/>
    <w:basedOn w:val="1"/>
    <w:next w:val="4"/>
    <w:uiPriority w:val="0"/>
    <w:pPr>
      <w:widowControl w:val="0"/>
      <w:suppressAutoHyphens/>
      <w:spacing w:after="140" w:line="276" w:lineRule="auto"/>
    </w:pPr>
    <w:rPr>
      <w:rFonts w:ascii="Calibri" w:hAnsi="Calibri" w:eastAsia="宋体" w:cs="Times New Roman"/>
      <w:szCs w:val="24"/>
    </w:rPr>
  </w:style>
  <w:style w:type="paragraph" w:styleId="4">
    <w:name w:val="Body Text First Indent"/>
    <w:basedOn w:val="3"/>
    <w:next w:val="1"/>
    <w:qFormat/>
    <w:uiPriority w:val="0"/>
    <w:pPr>
      <w:ind w:firstLine="100" w:firstLineChars="100"/>
    </w:pPr>
    <w:rPr>
      <w:rFonts w:eastAsia="宋体"/>
      <w:sz w:val="24"/>
      <w:szCs w:val="24"/>
    </w:rPr>
  </w:style>
  <w:style w:type="paragraph" w:styleId="8">
    <w:name w:val="index 6"/>
    <w:next w:val="1"/>
    <w:uiPriority w:val="0"/>
    <w:pPr>
      <w:jc w:val="both"/>
    </w:pPr>
    <w:rPr>
      <w:rFonts w:ascii="Calibri" w:hAnsi="Calibri" w:eastAsia="宋体" w:cs="Times New Roman"/>
      <w:sz w:val="21"/>
      <w:szCs w:val="22"/>
      <w:lang w:val="en-US" w:eastAsia="zh-CN" w:bidi="ar-SA"/>
    </w:rPr>
  </w:style>
  <w:style w:type="paragraph" w:styleId="9">
    <w:name w:val="footer"/>
    <w:basedOn w:val="1"/>
    <w:uiPriority w:val="0"/>
    <w:pPr>
      <w:tabs>
        <w:tab w:val="center" w:pos="4153"/>
        <w:tab w:val="right" w:pos="8306"/>
      </w:tabs>
      <w:overflowPunct w:val="0"/>
      <w:autoSpaceDE w:val="0"/>
      <w:autoSpaceDN w:val="0"/>
      <w:adjustRightInd w:val="0"/>
      <w:textAlignment w:val="baseline"/>
    </w:pPr>
    <w:rPr>
      <w:sz w:val="20"/>
    </w:rPr>
  </w:style>
  <w:style w:type="paragraph" w:styleId="10">
    <w:name w:val="header"/>
    <w:basedOn w:val="1"/>
    <w:uiPriority w:val="0"/>
    <w:pPr>
      <w:tabs>
        <w:tab w:val="center" w:pos="4153"/>
        <w:tab w:val="right" w:pos="8306"/>
      </w:tabs>
      <w:overflowPunct w:val="0"/>
      <w:autoSpaceDE w:val="0"/>
      <w:autoSpaceDN w:val="0"/>
      <w:adjustRightInd w:val="0"/>
      <w:textAlignment w:val="baseline"/>
    </w:pPr>
    <w:rPr>
      <w:sz w:val="20"/>
    </w:rPr>
  </w:style>
  <w:style w:type="character" w:styleId="13">
    <w:name w:val="page number"/>
    <w:basedOn w:val="12"/>
    <w:qFormat/>
    <w:uiPriority w:val="0"/>
  </w:style>
  <w:style w:type="character" w:styleId="14">
    <w:name w:val="FollowedHyperlink"/>
    <w:basedOn w:val="12"/>
    <w:uiPriority w:val="0"/>
    <w:rPr>
      <w:color w:val="800080"/>
      <w:sz w:val="18"/>
      <w:szCs w:val="18"/>
      <w:u w:val="none"/>
    </w:rPr>
  </w:style>
  <w:style w:type="character" w:styleId="15">
    <w:name w:val="line number"/>
    <w:basedOn w:val="12"/>
    <w:uiPriority w:val="0"/>
  </w:style>
  <w:style w:type="character" w:styleId="16">
    <w:name w:val="Hyperlink"/>
    <w:basedOn w:val="12"/>
    <w:uiPriority w:val="0"/>
    <w:rPr>
      <w:color w:val="0000FF"/>
      <w:sz w:val="18"/>
      <w:szCs w:val="18"/>
      <w:u w:val="none"/>
    </w:rPr>
  </w:style>
  <w:style w:type="paragraph" w:customStyle="1" w:styleId="17">
    <w:name w:val="居中"/>
    <w:basedOn w:val="1"/>
    <w:uiPriority w:val="0"/>
    <w:pPr>
      <w:numPr>
        <w:ilvl w:val="0"/>
        <w:numId w:val="1"/>
      </w:numPr>
    </w:pPr>
  </w:style>
  <w:style w:type="paragraph" w:customStyle="1" w:styleId="18">
    <w:name w:val="列出段落1"/>
    <w:basedOn w:val="1"/>
    <w:uiPriority w:val="0"/>
    <w:pPr>
      <w:ind w:firstLine="200" w:firstLineChars="200"/>
    </w:pPr>
  </w:style>
  <w:style w:type="character" w:customStyle="1" w:styleId="19">
    <w:name w:val="red"/>
    <w:basedOn w:val="12"/>
    <w:uiPriority w:val="0"/>
    <w:rPr>
      <w:color w:val="FF0000"/>
      <w:sz w:val="21"/>
      <w:szCs w:val="21"/>
    </w:rPr>
  </w:style>
  <w:style w:type="paragraph" w:customStyle="1" w:styleId="20">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Microsoft</Company>
  <Pages>1</Pages>
  <Words>2</Words>
  <Characters>2</Characters>
  <Lines>1</Lines>
  <Paragraphs>0</Paragraphs>
  <TotalTime>8</TotalTime>
  <ScaleCrop>false</ScaleCrop>
  <LinksUpToDate>false</LinksUpToDate>
  <CharactersWithSpaces>3</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2017-01-12T09:18:00Z</dcterms:created>
  <dc:creator>shy</dc:creator>
  <cp:lastModifiedBy>jiawei</cp:lastModifiedBy>
  <dcterms:modified xsi:type="dcterms:W3CDTF">2021-12-15T08:16:22Z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公文模板版本">
    <vt:lpwstr>20160721</vt:lpwstr>
  </property>
  <property fmtid="{D5CDD505-2E9C-101B-9397-08002B2CF9AE}" pid="4" name="ICV">
    <vt:lpwstr>E5DB1EDEA2D542E3BD6AAC3EF7778A96</vt:lpwstr>
  </property>
</Properties>
</file>