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>
      <w:pPr>
        <w:wordWrap/>
        <w:spacing w:before="0" w:after="0" w:line="560" w:lineRule="exact"/>
        <w:ind w:left="0" w:leftChars="0" w:right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44"/>
          <w:szCs w:val="44"/>
        </w:rPr>
        <w:t>嘉兴市建筑垃圾管理条例</w:t>
      </w:r>
    </w:p>
    <w:p>
      <w:pPr>
        <w:widowControl w:val="0"/>
        <w:wordWrap/>
        <w:adjustRightInd/>
        <w:snapToGrid/>
        <w:spacing w:before="0" w:after="0" w:line="560" w:lineRule="exact"/>
        <w:ind w:left="0" w:leftChars="0" w:right="0"/>
        <w:jc w:val="center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ind w:left="785" w:leftChars="200" w:right="527" w:rightChars="168" w:hanging="157" w:hangingChars="50"/>
        <w:rPr>
          <w:rFonts w:hint="eastAsia" w:ascii="楷体_GB2312" w:hAnsi="楷体_GB2312" w:eastAsia="楷体_GB2312" w:cs="楷体_GB2312"/>
          <w:b w:val="0"/>
          <w:bCs w:val="0"/>
          <w:color w:val="auto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Arial" w:eastAsia="楷体_GB2312" w:cs="Arial"/>
          <w:szCs w:val="32"/>
          <w:lang w:val="en-US" w:eastAsia="zh-CN"/>
        </w:rPr>
        <w:t xml:space="preserve">（2021年2月8日嘉兴市第八届人民代表大会第六次会议通过  </w:t>
      </w:r>
      <w:bookmarkStart w:id="0" w:name="_GoBack"/>
      <w:bookmarkEnd w:id="0"/>
      <w:r>
        <w:rPr>
          <w:rFonts w:hint="eastAsia" w:ascii="楷体_GB2312" w:hAnsi="Arial" w:eastAsia="楷体_GB2312" w:cs="Arial"/>
          <w:szCs w:val="32"/>
          <w:lang w:val="en-US" w:eastAsia="zh-CN"/>
        </w:rPr>
        <w:t>2021年3月26日浙江省第十三届人民代表大会常务委员会第二十八次会议批准）</w:t>
      </w:r>
    </w:p>
    <w:p>
      <w:pPr>
        <w:wordWrap/>
        <w:adjustRightInd w:val="0"/>
        <w:snapToGrid w:val="0"/>
        <w:spacing w:before="0" w:after="0"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widowControl w:val="0"/>
        <w:wordWrap/>
        <w:adjustRightInd/>
        <w:snapToGrid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为了加强建筑垃圾管理，推进生态文明建设，根据有关法律、法规，结合本市实际，制定本条例。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二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本市行政区域内建筑垃圾的产生、收集、运输、利用、处置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及其监督管理，适用本条例。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本条例所称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建筑垃圾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包括建设工程垃圾和装修垃圾。建设工程垃圾是指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新建、改建、扩建和拆除各类建筑物、构筑物、管网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等，以及实施施工许可管理的房屋装饰装修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过程中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产生的弃土、弃料和其他废弃物。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装修垃圾是指不实施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施工许可管理的房屋装饰装修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过程中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产生的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弃土、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弃料和其他废弃物。</w:t>
      </w:r>
    </w:p>
    <w:p>
      <w:pPr>
        <w:widowControl w:val="0"/>
        <w:wordWrap/>
        <w:adjustRightInd/>
        <w:snapToGrid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  <w:lang w:eastAsia="zh-CN"/>
        </w:rPr>
        <w:t>三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市、县（市、区）人民政府，嘉兴经济技术开发区（国际商务区）、嘉兴港区管委会应当建立建筑垃圾管理协调机制，统筹解决重大问题。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镇人民政府、街道办事处负责本辖区内建筑垃圾的日常管理，指导村民委员会、居民委员会协助做好相关工作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  <w:lang w:eastAsia="zh-CN"/>
        </w:rPr>
        <w:t>四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环境卫生主管部门负责建筑垃圾管理工作。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发展改革、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CN"/>
        </w:rPr>
        <w:t>公安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机关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、财政、自然资源规划、生态环境、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CN"/>
        </w:rPr>
        <w:t>住房城乡建设、交通运输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、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CN"/>
        </w:rPr>
        <w:t>水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行政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、农业农村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、综合行政执法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等部门应当按照各自职责，协同做好建筑垃圾管理工作。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五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建设单位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应当将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运输、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处置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费用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列入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建设工程概算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、预算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施工单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位应当编制建筑垃圾处理方案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并依法报备。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六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市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环境卫生主管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部门应当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会同有关部门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建立建筑垃圾信息共享平台和运输监控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系统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，实现信息共享和部门执法联动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信息共享平台应当包含下列内容，并向社会公开：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（一）建筑垃圾产生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需求信息；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（二）建筑垃圾运输单位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运输车辆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（船舶）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信息；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（三）建筑垃圾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利用、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处置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和转运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场所信息；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（四）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关行政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执法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信息；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（五）其他信息。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  <w:highlight w:val="none"/>
          <w:lang w:eastAsia="zh-CN"/>
        </w:rPr>
        <w:t>第七条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 xml:space="preserve">  推广绿色设计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绿色施工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以及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装配式建筑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等，促进建筑垃圾源头减量。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鼓励通过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堆坡造景、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低洼填平等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，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就地利用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建筑垃圾。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  <w:highlight w:val="none"/>
          <w:lang w:eastAsia="zh-CN"/>
        </w:rPr>
        <w:t>第八条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市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环境卫生主管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应当会同有关部门制定建筑垃圾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收集和运输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规范，报市人民政府批准后公布实施。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九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从事建筑垃圾运输活动，不得沿途丢弃、随意倾倒建筑垃圾。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实行建筑垃圾运输诚信评价制度。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具体办法由市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环境卫生主管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部门制定，报市人民政府批准后公布实施。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</w:rPr>
        <w:t>十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一</w:t>
      </w: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条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 xml:space="preserve">  实行装修垃圾投放管理人制度。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委托物业服务企业管理的，物业服务企业为管理人；未委托的，所在地的村民委员会或者居民委员会为管理人。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十二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管理人应当履行下列职责：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（一）确定装修垃圾堆放点，不能确定的，应当向所在地的镇人民政府或者街道办事处报告；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（二）</w:t>
      </w:r>
      <w:r>
        <w:rPr>
          <w:rFonts w:hint="eastAsia" w:ascii="仿宋_GB2312" w:hAnsi="仿宋_GB2312" w:cs="仿宋_GB2312"/>
          <w:color w:val="auto"/>
          <w:kern w:val="2"/>
          <w:sz w:val="32"/>
          <w:szCs w:val="32"/>
          <w:lang w:val="en-US" w:eastAsia="zh-CN" w:bidi="ar-SA"/>
        </w:rPr>
        <w:t>在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堆放点</w:t>
      </w:r>
      <w:r>
        <w:rPr>
          <w:rFonts w:hint="eastAsia" w:ascii="仿宋_GB2312" w:hAnsi="仿宋_GB2312" w:cs="仿宋_GB2312"/>
          <w:color w:val="auto"/>
          <w:kern w:val="2"/>
          <w:sz w:val="32"/>
          <w:szCs w:val="32"/>
          <w:lang w:val="en-US" w:eastAsia="zh-CN" w:bidi="ar-SA"/>
        </w:rPr>
        <w:t>采取防尘、防渗等措施；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（三）指导、监督装修垃圾投放；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（四）及时</w:t>
      </w:r>
      <w:r>
        <w:rPr>
          <w:rFonts w:hint="eastAsia" w:ascii="仿宋_GB2312" w:hAnsi="仿宋_GB2312" w:cs="仿宋_GB2312"/>
          <w:color w:val="auto"/>
          <w:kern w:val="2"/>
          <w:sz w:val="32"/>
          <w:szCs w:val="32"/>
          <w:lang w:val="en-US" w:eastAsia="zh-CN" w:bidi="ar-SA"/>
        </w:rPr>
        <w:t>组织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清运堆放点的装修垃圾。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default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管理人履行职责的，有关单位和个人应当予以配合。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十三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不实施施工许可管理的房屋装饰装修，应当在开工前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告知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管理人。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管理人应当书面告知装修垃圾投放的相关规定。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-US" w:eastAsia="zh-CN" w:bidi="ar-SA"/>
        </w:rPr>
        <w:t>第十四条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装修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eastAsia="zh-CN"/>
        </w:rPr>
        <w:t>垃圾可以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投放至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eastAsia="zh-CN"/>
        </w:rPr>
        <w:t>确定的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堆放点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eastAsia="zh-CN"/>
        </w:rPr>
        <w:t>，也可以投放至利用、处置和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转运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场所。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投放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装修垃圾应当采取袋装等防漏措施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十五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市、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县（市、区）人民政府应当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依法组织建设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建筑垃圾利用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、处置场所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镇人民政府、街道办事处应当根据建筑垃圾管理实际，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组织建设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转运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场所。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鼓励社会资本参与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利用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、处置和转运场所的建设运营。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十六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鼓励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按照有关规定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直接利用建筑垃圾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不能直接利用的，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应当运送至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利用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处置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和转运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所。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  <w:lang w:eastAsia="zh-CN"/>
        </w:rPr>
        <w:t>十七</w:t>
      </w:r>
      <w:r>
        <w:rPr>
          <w:rFonts w:hint="eastAsia" w:ascii="黑体" w:hAnsi="黑体" w:eastAsia="黑体"/>
          <w:color w:val="auto"/>
          <w:sz w:val="32"/>
          <w:szCs w:val="32"/>
          <w:highlight w:val="none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市、县（市、区）人民政府应当将建筑垃圾综合利用列入循环经济发展规划，并依法给予扶持。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使用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政府性资金建设的项目应当优先使用建筑垃圾综合利用产品。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 w:cs="黑体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十八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任何单位和个人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不得为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违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处置建筑垃圾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提供条件。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十九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违反本条例规定的行为，法律、</w:t>
      </w:r>
      <w:r>
        <w:rPr>
          <w:rFonts w:hint="eastAsia" w:ascii="仿宋_GB2312" w:hAnsi="仿宋_GB2312" w:cs="仿宋_GB2312"/>
          <w:color w:val="auto"/>
          <w:szCs w:val="32"/>
        </w:rPr>
        <w:t>行政法规、省的地方性法规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已有法律责任规定的，从其规定。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二十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违反本条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例第九条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规定，沿途丢弃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或者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随意倾倒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建设工程垃圾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的，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依法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由综合行政执法部门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责令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改正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对单位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处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十万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元以上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一百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万元以下罚款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，对个人处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五千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元以上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五万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元以下罚款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沿途丢弃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或者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随意倾倒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装修垃圾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的，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依法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由综合行政执法部门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责令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改正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对单位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处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二万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元以上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二十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万元以下罚款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，对个人处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一千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元以上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一万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元以下罚款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highlight w:val="none"/>
          <w:lang w:val="en-US" w:eastAsia="zh-CN" w:bidi="ar-SA"/>
        </w:rPr>
        <w:t>第二十一条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违反本条例第十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二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条第一款规定，管理人未履行职责的，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依法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由综合行政执法部门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责令改正，可以处五百元以上五千元以下罚款；情节严重的，处五千元以上三万元以下罚款。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第</w:t>
      </w:r>
      <w:r>
        <w:rPr>
          <w:rFonts w:hint="eastAsia" w:ascii="黑体" w:hAnsi="黑体" w:eastAsia="黑体"/>
          <w:color w:val="auto"/>
          <w:sz w:val="32"/>
          <w:szCs w:val="32"/>
          <w:lang w:eastAsia="zh-CN"/>
        </w:rPr>
        <w:t>二十二</w:t>
      </w:r>
      <w:r>
        <w:rPr>
          <w:rFonts w:hint="eastAsia" w:ascii="黑体" w:hAnsi="黑体" w:eastAsia="黑体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违反本条例第十四条规定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，</w:t>
      </w:r>
      <w:r>
        <w:rPr>
          <w:rFonts w:hint="eastAsia" w:ascii="仿宋_GB2312" w:hAnsi="仿宋_GB2312" w:cs="仿宋_GB2312"/>
          <w:color w:val="auto"/>
          <w:sz w:val="32"/>
          <w:szCs w:val="32"/>
          <w:highlight w:val="none"/>
          <w:lang w:val="en-US" w:eastAsia="zh-CN"/>
        </w:rPr>
        <w:t>个人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未准确投放装修垃圾的，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依法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综合行政执法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部门责令改正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；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情节严重的，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处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五十元以上二百元以下罚款。</w:t>
      </w:r>
    </w:p>
    <w:p>
      <w:pPr>
        <w:wordWrap/>
        <w:spacing w:before="0" w:after="0" w:line="560" w:lineRule="exact"/>
        <w:ind w:left="0" w:leftChars="0" w:right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highlight w:val="none"/>
          <w:lang w:val="en-US" w:eastAsia="zh-CN" w:bidi="ar-SA"/>
        </w:rPr>
        <w:t>第二十三条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违反本条例第十八条规定，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违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处置建筑垃圾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提供条件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的，</w:t>
      </w:r>
      <w:r>
        <w:rPr>
          <w:rFonts w:hint="eastAsia" w:ascii="仿宋_GB2312" w:hAnsi="仿宋_GB2312" w:cs="仿宋_GB2312"/>
          <w:color w:val="auto"/>
          <w:sz w:val="32"/>
          <w:szCs w:val="32"/>
          <w:lang w:eastAsia="zh-CN"/>
        </w:rPr>
        <w:t>依法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由综合行政执法部门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责令改正，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没收违法所得，对单位处一万元以上十万元以下罚款，对个人处二千元以上二万元以下罚款。</w:t>
      </w:r>
    </w:p>
    <w:p>
      <w:pPr>
        <w:ind w:firstLine="628" w:firstLineChars="200"/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-US" w:eastAsia="zh-CN" w:bidi="ar-SA"/>
        </w:rPr>
        <w:t>第二十四条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本条例自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2021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年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6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月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1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日起施行。</w:t>
      </w:r>
    </w:p>
    <w:sectPr>
      <w:footerReference r:id="rId5" w:type="default"/>
      <w:footerReference r:id="rId6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ascii="楷体_GB2312" w:eastAsia="楷体_GB2312"/>
        <w:sz w:val="28"/>
      </w:rPr>
    </w:pPr>
    <w:r>
      <w:rPr>
        <w:rStyle w:val="7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7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Style w:val="7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7"/>
        <w:rFonts w:ascii="宋体" w:hAnsi="宋体" w:eastAsia="宋体"/>
        <w:sz w:val="28"/>
      </w:rPr>
    </w:pPr>
    <w:r>
      <w:rPr>
        <w:rStyle w:val="7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7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7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Style w:val="7"/>
        <w:rFonts w:hint="eastAsia" w:ascii="宋体" w:hAnsi="宋体" w:eastAsia="宋体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1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doNotDisplayPageBoundaries w:val="1"/>
  <w:attachedTemplate r:id="rId1"/>
  <w:documentProtection w:enforcement="0"/>
  <w:defaultTabStop w:val="720"/>
  <w:evenAndOddHeaders w:val="1"/>
  <w:drawingGridHorizontalSpacing w:val="308"/>
  <w:drawingGridVerticalSpacing w:val="295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7E7972"/>
    <w:rsid w:val="00821AE1"/>
    <w:rsid w:val="00A0649E"/>
    <w:rsid w:val="00C26BE1"/>
    <w:rsid w:val="00D57722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1563E8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2E72129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E9F616B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basedOn w:val="6"/>
    <w:qFormat/>
    <w:uiPriority w:val="0"/>
    <w:rPr>
      <w:color w:val="800080"/>
      <w:sz w:val="18"/>
      <w:szCs w:val="18"/>
      <w:u w:val="none"/>
    </w:rPr>
  </w:style>
  <w:style w:type="character" w:styleId="9">
    <w:name w:val="line number"/>
    <w:basedOn w:val="6"/>
    <w:qFormat/>
    <w:uiPriority w:val="0"/>
  </w:style>
  <w:style w:type="character" w:styleId="10">
    <w:name w:val="Hyperlink"/>
    <w:basedOn w:val="6"/>
    <w:qFormat/>
    <w:uiPriority w:val="0"/>
    <w:rPr>
      <w:color w:val="0000FF"/>
      <w:sz w:val="18"/>
      <w:szCs w:val="18"/>
      <w:u w:val="none"/>
    </w:rPr>
  </w:style>
  <w:style w:type="paragraph" w:customStyle="1" w:styleId="11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2">
    <w:name w:val="列出段落1"/>
    <w:basedOn w:val="1"/>
    <w:qFormat/>
    <w:uiPriority w:val="0"/>
    <w:pPr>
      <w:ind w:firstLine="420" w:firstLineChars="200"/>
    </w:pPr>
  </w:style>
  <w:style w:type="character" w:customStyle="1" w:styleId="13">
    <w:name w:val="red"/>
    <w:basedOn w:val="6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Company>Microsoft</Company>
  <Pages>1</Pages>
  <Words>0</Words>
  <Characters>4</Characters>
  <Lines>1</Lines>
  <Paragraphs>1</Paragraphs>
  <TotalTime>8</TotalTime>
  <ScaleCrop>false</ScaleCrop>
  <LinksUpToDate>false</LinksUpToDate>
  <CharactersWithSpaces>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2017-01-11T09:18:00Z</dcterms:created>
  <dc:creator>shy</dc:creator>
  <cp:lastModifiedBy>jumphouse</cp:lastModifiedBy>
  <dcterms:modified xsi:type="dcterms:W3CDTF">2021-04-25T11:53:05Z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公文模板版本">
    <vt:lpwstr>20160721</vt:lpwstr>
  </property>
  <property fmtid="{D5CDD505-2E9C-101B-9397-08002B2CF9AE}" pid="4" name="ICV">
    <vt:lpwstr>866D4910241A4952A05C08F6E1C46C62</vt:lpwstr>
  </property>
</Properties>
</file>