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spacing w:line="560" w:lineRule="exact"/>
        <w:jc w:val="center"/>
        <w:rPr>
          <w:rFonts w:ascii="宋体" w:eastAsia="宋体" w:cs="Arial"/>
          <w:bCs/>
          <w:sz w:val="44"/>
          <w:szCs w:val="44"/>
        </w:rPr>
      </w:pPr>
    </w:p>
    <w:p>
      <w:pPr>
        <w:spacing w:line="560" w:lineRule="exact"/>
        <w:jc w:val="center"/>
        <w:rPr>
          <w:rFonts w:ascii="宋体" w:eastAsia="宋体" w:cs="Arial"/>
          <w:bCs/>
          <w:sz w:val="44"/>
          <w:szCs w:val="44"/>
        </w:rPr>
      </w:pPr>
    </w:p>
    <w:p>
      <w:pPr>
        <w:spacing w:line="580" w:lineRule="exact"/>
        <w:jc w:val="center"/>
        <w:rPr>
          <w:rFonts w:ascii="宋体" w:eastAsia="宋体" w:cs="宋体"/>
          <w:bCs/>
          <w:sz w:val="44"/>
          <w:szCs w:val="44"/>
        </w:rPr>
      </w:pPr>
      <w:r>
        <w:rPr>
          <w:rFonts w:ascii="宋体" w:eastAsia="宋体" w:cs="宋体" w:hint="eastAsia"/>
          <w:bCs/>
          <w:sz w:val="44"/>
          <w:szCs w:val="44"/>
        </w:rPr>
        <w:t>宁波市宗教活动场所管理办法</w:t>
      </w:r>
    </w:p>
    <w:p>
      <w:pPr>
        <w:spacing w:line="580" w:lineRule="exact"/>
        <w:ind w:firstLineChars="150" w:firstLine="646"/>
        <w:rPr>
          <w:rFonts w:ascii="Times New Roman" w:eastAsia="方正小标宋简体" w:cs="Times New Roman" w:hAnsi="Times New Roman"/>
          <w:snapToGrid w:val="0"/>
          <w:kern w:val="0"/>
          <w:sz w:val="44"/>
          <w:szCs w:val="44"/>
        </w:rPr>
      </w:pPr>
    </w:p>
    <w:p>
      <w:pPr>
        <w:spacing w:line="580" w:lineRule="exact"/>
        <w:ind w:leftChars="250" w:left="502" w:rightChars="168" w:right="338"/>
        <w:rPr>
          <w:rFonts w:ascii="楷体_GB2312" w:eastAsia="楷体_GB2312" w:cs="Arial"/>
          <w:sz w:val="32"/>
          <w:szCs w:val="32"/>
        </w:rPr>
      </w:pPr>
      <w:r>
        <w:rPr>
          <w:rFonts w:ascii="楷体_GB2312" w:eastAsia="楷体_GB2312" w:cs="Arial" w:hint="eastAsia"/>
          <w:sz w:val="32"/>
          <w:szCs w:val="32"/>
        </w:rPr>
        <w:t>（1997年3月27日宁波市第十届人民代表大会常务委员会第三十次会议通过  1997年6月28日浙江省第八届人民代表大会常务委员会第三十七次会议批准</w:t>
      </w:r>
      <w:r>
        <w:rPr>
          <w:rFonts w:ascii="楷体_GB2312" w:eastAsia="楷体_GB2312" w:cs="Arial"/>
          <w:sz w:val="32"/>
          <w:szCs w:val="32"/>
        </w:rPr>
        <w:t xml:space="preserve">  </w:t>
      </w:r>
      <w:r>
        <w:rPr>
          <w:rFonts w:ascii="楷体_GB2312" w:eastAsia="楷体_GB2312" w:cs="Arial" w:hint="eastAsia"/>
          <w:sz w:val="32"/>
          <w:szCs w:val="32"/>
        </w:rPr>
        <w:t>根据2012年12月26日宁波市第十四届人民代表大会常务委员会第六次会议通过  2013年5月29日浙江省第十二届人民代表大会常务委员会第三次会议批准的《宁波市人民代表大会常务委员会关于修改〈宁波市宗教活动场所管理办法〉的决定》第一次修正</w:t>
      </w:r>
      <w:r>
        <w:rPr>
          <w:rFonts w:ascii="楷体_GB2312" w:eastAsia="楷体_GB2312" w:cs="Arial"/>
          <w:sz w:val="32"/>
          <w:szCs w:val="32"/>
        </w:rPr>
        <w:t xml:space="preserve">  </w:t>
      </w:r>
      <w:bookmarkStart w:id="0" w:name="_GoBack"/>
      <w:bookmarkEnd w:id="0"/>
      <w:r>
        <w:rPr>
          <w:rFonts w:ascii="楷体_GB2312" w:eastAsia="楷体_GB2312" w:cs="Arial" w:hint="eastAsia"/>
          <w:sz w:val="32"/>
          <w:szCs w:val="32"/>
        </w:rPr>
        <w:t>根据2021年6月24日宁波市第十五届人民代表大会常务委员会第三十八次会议通过  2021年7月30日浙江省第十三届人民代表大会常务委员会第三十次会议批准的《宁波市人民代表大会常务委员会关于修改〈宁波市宗教活动场所管理办法〉的决定》第二次修正）</w:t>
      </w:r>
    </w:p>
    <w:p>
      <w:pPr>
        <w:spacing w:line="580" w:lineRule="exact"/>
        <w:rPr>
          <w:rFonts w:ascii="楷体_GB2312" w:eastAsia="楷体_GB2312" w:cs="Times New Roman"/>
          <w:snapToGrid w:val="0"/>
          <w:sz w:val="32"/>
          <w:szCs w:val="32"/>
        </w:rPr>
      </w:pPr>
      <w:bookmarkStart w:id="1" w:name="内容"/>
      <w:bookmarkStart w:id="2" w:name="1"/>
      <w:bookmarkStart w:id="3" w:name="sub3980328_1"/>
      <w:bookmarkEnd w:id="1"/>
      <w:bookmarkEnd w:id="2"/>
      <w:bookmarkEnd w:id="3"/>
    </w:p>
    <w:p>
      <w:pPr>
        <w:spacing w:line="580" w:lineRule="exact"/>
        <w:ind w:firstLine="624"/>
        <w:rPr>
          <w:rFonts w:ascii="仿宋_GB2312" w:eastAsia="仿宋_GB2312" w:cs="仿宋"/>
          <w:snapToGrid w:val="0"/>
          <w:spacing w:val="-4"/>
          <w:sz w:val="32"/>
          <w:szCs w:val="32"/>
        </w:rPr>
      </w:pPr>
      <w:r>
        <w:rPr>
          <w:rFonts w:ascii="黑体" w:eastAsia="黑体" w:cs="黑体" w:hint="eastAsia"/>
          <w:snapToGrid w:val="0"/>
          <w:spacing w:val="-4"/>
          <w:sz w:val="32"/>
          <w:szCs w:val="32"/>
        </w:rPr>
        <w:t>第一条</w:t>
      </w:r>
      <w:r>
        <w:rPr>
          <w:rFonts w:ascii="仿宋_GB2312" w:eastAsia="仿宋_GB2312" w:cs="仿宋" w:hint="eastAsia"/>
          <w:snapToGrid w:val="0"/>
          <w:spacing w:val="-4"/>
          <w:sz w:val="32"/>
          <w:szCs w:val="32"/>
        </w:rPr>
        <w:t xml:space="preserve">  为了保护正常的宗教活动，维护宗教活动场所的合法权益，规范宗教活动场所的管理，根据《宗教事务条例》《浙江省宗教事务条例》和其他有关法律、法规，结合本市实际，制定本办法。</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第二条</w:t>
      </w:r>
      <w:r>
        <w:rPr>
          <w:rFonts w:ascii="仿宋_GB2312" w:eastAsia="仿宋_GB2312" w:cs="仿宋" w:hint="eastAsia"/>
          <w:snapToGrid w:val="0"/>
          <w:spacing w:val="-4"/>
          <w:sz w:val="32"/>
          <w:szCs w:val="32"/>
        </w:rPr>
        <w:t xml:space="preserve">  本市行政区域内的宗教活动场所管理，适用本办法。</w:t>
      </w:r>
    </w:p>
    <w:p>
      <w:pPr>
        <w:spacing w:line="580" w:lineRule="exact"/>
        <w:ind w:firstLine="624"/>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前款所称的宗教活动场所,包括寺观教堂和其他固定宗教活动处所。</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 xml:space="preserve">第三条  </w:t>
      </w:r>
      <w:r>
        <w:rPr>
          <w:rFonts w:ascii="仿宋_GB2312" w:eastAsia="仿宋_GB2312" w:cs="仿宋" w:hint="eastAsia"/>
          <w:snapToGrid w:val="0"/>
          <w:spacing w:val="-4"/>
          <w:sz w:val="32"/>
          <w:szCs w:val="32"/>
        </w:rPr>
        <w:t>宗教活动场所应当遵守宪法、法律、法规和规章，坚持宗教中国化方向，践行社会主义核心价值观，维护国家统一、民族团结、宗教和睦与社会稳定。</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宗教活动场所管理坚持保护合法、制止非法、遏制极端、抵御渗透、打击犯罪的原则。</w:t>
      </w:r>
    </w:p>
    <w:p>
      <w:pPr>
        <w:pStyle w:val="16"/>
        <w:spacing w:after="0"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第四条</w:t>
      </w:r>
      <w:r>
        <w:rPr>
          <w:rFonts w:ascii="仿宋_GB2312" w:eastAsia="仿宋_GB2312" w:cs="仿宋" w:hint="eastAsia"/>
          <w:snapToGrid w:val="0"/>
          <w:spacing w:val="-4"/>
          <w:sz w:val="32"/>
          <w:szCs w:val="32"/>
        </w:rPr>
        <w:t xml:space="preserve">  宗教活动场所的合法权益和宗教活动场所内正常的宗教活动受法律保护。</w:t>
      </w:r>
    </w:p>
    <w:p>
      <w:pPr>
        <w:spacing w:line="580" w:lineRule="exact"/>
        <w:ind w:firstLine="624"/>
        <w:rPr>
          <w:rFonts w:ascii="仿宋_GB2312" w:eastAsia="仿宋_GB2312" w:cs="仿宋"/>
          <w:snapToGrid w:val="0"/>
          <w:spacing w:val="-4"/>
          <w:sz w:val="32"/>
          <w:szCs w:val="32"/>
        </w:rPr>
      </w:pPr>
      <w:r>
        <w:rPr>
          <w:rFonts w:ascii="黑体" w:eastAsia="黑体" w:cs="黑体" w:hint="eastAsia"/>
          <w:snapToGrid w:val="0"/>
          <w:spacing w:val="-4"/>
          <w:sz w:val="32"/>
          <w:szCs w:val="32"/>
        </w:rPr>
        <w:t>第五条</w:t>
      </w:r>
      <w:r>
        <w:rPr>
          <w:rFonts w:ascii="仿宋_GB2312" w:eastAsia="仿宋_GB2312" w:cs="仿宋" w:hint="eastAsia"/>
          <w:snapToGrid w:val="0"/>
          <w:spacing w:val="-4"/>
          <w:sz w:val="32"/>
          <w:szCs w:val="32"/>
        </w:rPr>
        <w:t xml:space="preserve">  市和区县（市）宗教事务部门是宗教活动场所的主管部门，对本办法的实施负有检查、督促、指导、协调的职责。</w:t>
      </w:r>
    </w:p>
    <w:p>
      <w:pPr>
        <w:spacing w:line="580" w:lineRule="exact"/>
        <w:ind w:firstLine="624"/>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市和区县（市）人民政府有关部门应当依照本办法规定履行各自管理职责。</w:t>
      </w:r>
    </w:p>
    <w:p>
      <w:pPr>
        <w:spacing w:line="580" w:lineRule="exact"/>
        <w:ind w:firstLine="624"/>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乡(镇)人民政府、街道办事处应当做好管辖区域内的宗教活动场所管理工作。</w:t>
      </w:r>
    </w:p>
    <w:p>
      <w:pPr>
        <w:spacing w:line="580" w:lineRule="exact"/>
        <w:ind w:firstLine="624"/>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村民委员会、居民委员会应当依法协助人民政府管理宗教活动场所；发现利用宗教活动场所进行违法活动的，应当及时报告。</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 xml:space="preserve">第六条  </w:t>
      </w:r>
      <w:r>
        <w:rPr>
          <w:rFonts w:ascii="仿宋_GB2312" w:eastAsia="仿宋_GB2312" w:cs="仿宋" w:hint="eastAsia"/>
          <w:snapToGrid w:val="0"/>
          <w:spacing w:val="-4"/>
          <w:sz w:val="32"/>
          <w:szCs w:val="32"/>
        </w:rPr>
        <w:t>宗教活动场所的筹备设立和登记，应当依照《宗教事务条例》《浙江省宗教事务条例》的规定办理。</w:t>
      </w:r>
    </w:p>
    <w:p>
      <w:pPr>
        <w:pStyle w:val="16"/>
        <w:spacing w:after="0" w:line="580" w:lineRule="exact"/>
        <w:ind w:firstLineChars="200" w:firstLine="606"/>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未经批准和登记，任何组织和个人不得擅自设立宗教活动场所开展宗教活动。</w:t>
      </w:r>
    </w:p>
    <w:p>
      <w:pPr>
        <w:pStyle w:val="16"/>
        <w:spacing w:after="0"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第七条</w:t>
      </w:r>
      <w:r>
        <w:rPr>
          <w:rFonts w:ascii="仿宋_GB2312" w:eastAsia="仿宋_GB2312" w:cs="仿宋" w:hint="eastAsia"/>
          <w:snapToGrid w:val="0"/>
          <w:spacing w:val="-4"/>
          <w:sz w:val="32"/>
          <w:szCs w:val="32"/>
        </w:rPr>
        <w:t xml:space="preserve">  宗教活动场所终止或者变更登记内容的，应当到原登记的宗教事务部门办理手续。其中终止的，财产按照国家有关规定处理。</w:t>
      </w:r>
    </w:p>
    <w:p>
      <w:pPr>
        <w:spacing w:line="580" w:lineRule="exact"/>
        <w:ind w:firstLine="624"/>
        <w:rPr>
          <w:rFonts w:ascii="仿宋_GB2312" w:eastAsia="仿宋_GB2312" w:cs="仿宋"/>
          <w:snapToGrid w:val="0"/>
          <w:spacing w:val="-4"/>
          <w:sz w:val="32"/>
          <w:szCs w:val="32"/>
        </w:rPr>
      </w:pPr>
      <w:r>
        <w:rPr>
          <w:rFonts w:ascii="黑体" w:eastAsia="黑体" w:cs="黑体" w:hint="eastAsia"/>
          <w:snapToGrid w:val="0"/>
          <w:spacing w:val="-4"/>
          <w:sz w:val="32"/>
          <w:szCs w:val="32"/>
        </w:rPr>
        <w:t xml:space="preserve">第八条  </w:t>
      </w:r>
      <w:r>
        <w:rPr>
          <w:rFonts w:ascii="仿宋_GB2312" w:eastAsia="仿宋_GB2312" w:cs="仿宋" w:hint="eastAsia"/>
          <w:snapToGrid w:val="0"/>
          <w:spacing w:val="-4"/>
          <w:sz w:val="32"/>
          <w:szCs w:val="32"/>
        </w:rPr>
        <w:t>宗教活动场所应当在有关宗教团体的指导下成立管理组织。管理组织成员由该场所的宗教教职人员和信教公民民主协商推选产生，并报该场所的登记管理机关备案。</w:t>
      </w:r>
    </w:p>
    <w:p>
      <w:pPr>
        <w:spacing w:line="580" w:lineRule="exact"/>
        <w:ind w:firstLine="624"/>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宗教教职人员应当爱国爱教，遵纪守法，严守教规，有相应的宗教学识，在信教公民中具有一定的威望。</w:t>
      </w:r>
    </w:p>
    <w:p>
      <w:pPr>
        <w:spacing w:line="580" w:lineRule="exact"/>
        <w:ind w:firstLine="624"/>
        <w:rPr>
          <w:rFonts w:ascii="仿宋_GB2312" w:eastAsia="仿宋_GB2312" w:cs="仿宋"/>
          <w:snapToGrid w:val="0"/>
          <w:spacing w:val="-4"/>
          <w:sz w:val="32"/>
          <w:szCs w:val="32"/>
        </w:rPr>
      </w:pPr>
      <w:r>
        <w:rPr>
          <w:rFonts w:ascii="黑体" w:eastAsia="黑体" w:cs="黑体" w:hint="eastAsia"/>
          <w:snapToGrid w:val="0"/>
          <w:spacing w:val="-4"/>
          <w:sz w:val="32"/>
          <w:szCs w:val="32"/>
        </w:rPr>
        <w:t xml:space="preserve">第九条  </w:t>
      </w:r>
      <w:r>
        <w:rPr>
          <w:rFonts w:ascii="仿宋_GB2312" w:eastAsia="仿宋_GB2312" w:cs="仿宋"/>
          <w:snapToGrid w:val="0"/>
          <w:spacing w:val="-4"/>
          <w:sz w:val="32"/>
          <w:szCs w:val="32"/>
        </w:rPr>
        <w:t>宗教活动场所应当遵守宗教团体制定的规章制度</w:t>
      </w:r>
      <w:r>
        <w:rPr>
          <w:rFonts w:ascii="仿宋_GB2312" w:eastAsia="仿宋_GB2312" w:cs="仿宋" w:hint="eastAsia"/>
          <w:snapToGrid w:val="0"/>
          <w:spacing w:val="-4"/>
          <w:sz w:val="32"/>
          <w:szCs w:val="32"/>
        </w:rPr>
        <w:t>。</w:t>
      </w:r>
    </w:p>
    <w:p>
      <w:pPr>
        <w:spacing w:line="580" w:lineRule="exact"/>
        <w:ind w:firstLine="624"/>
        <w:rPr>
          <w:rFonts w:ascii="仿宋_GB2312" w:eastAsia="仿宋_GB2312" w:cs="仿宋"/>
          <w:snapToGrid w:val="0"/>
          <w:spacing w:val="-4"/>
          <w:sz w:val="32"/>
          <w:szCs w:val="32"/>
        </w:rPr>
      </w:pPr>
      <w:r>
        <w:rPr>
          <w:rFonts w:ascii="仿宋_GB2312" w:eastAsia="仿宋_GB2312" w:cs="仿宋"/>
          <w:snapToGrid w:val="0"/>
          <w:spacing w:val="-4"/>
          <w:sz w:val="32"/>
          <w:szCs w:val="32"/>
        </w:rPr>
        <w:t>宗教团体应当引导宗教活动场所依法</w:t>
      </w:r>
      <w:r>
        <w:rPr>
          <w:rFonts w:ascii="仿宋_GB2312" w:eastAsia="仿宋_GB2312" w:cs="仿宋" w:hint="eastAsia"/>
          <w:snapToGrid w:val="0"/>
          <w:spacing w:val="-4"/>
          <w:sz w:val="32"/>
          <w:szCs w:val="32"/>
        </w:rPr>
        <w:t>依规</w:t>
      </w:r>
      <w:r>
        <w:rPr>
          <w:rFonts w:ascii="仿宋_GB2312" w:eastAsia="仿宋_GB2312" w:cs="仿宋"/>
          <w:snapToGrid w:val="0"/>
          <w:spacing w:val="-4"/>
          <w:sz w:val="32"/>
          <w:szCs w:val="32"/>
        </w:rPr>
        <w:t>开展</w:t>
      </w:r>
      <w:r>
        <w:rPr>
          <w:rFonts w:ascii="仿宋_GB2312" w:eastAsia="仿宋_GB2312" w:cs="仿宋" w:hint="eastAsia"/>
          <w:snapToGrid w:val="0"/>
          <w:spacing w:val="-4"/>
          <w:sz w:val="32"/>
          <w:szCs w:val="32"/>
        </w:rPr>
        <w:t>宗教</w:t>
      </w:r>
      <w:r>
        <w:rPr>
          <w:rFonts w:ascii="仿宋_GB2312" w:eastAsia="仿宋_GB2312" w:cs="仿宋"/>
          <w:snapToGrid w:val="0"/>
          <w:spacing w:val="-4"/>
          <w:sz w:val="32"/>
          <w:szCs w:val="32"/>
        </w:rPr>
        <w:t>活动。</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 xml:space="preserve">第十条  </w:t>
      </w:r>
      <w:r>
        <w:rPr>
          <w:rFonts w:ascii="仿宋_GB2312" w:eastAsia="仿宋_GB2312" w:cs="仿宋" w:hint="eastAsia"/>
          <w:snapToGrid w:val="0"/>
          <w:spacing w:val="-4"/>
          <w:sz w:val="32"/>
          <w:szCs w:val="32"/>
        </w:rPr>
        <w:t>宗教活动场所应当实行民主管理，建立健全人员、财务、资产、会计、治安、消防、文物保护、卫生防疫等各项管理制度，完善各项配套设施</w:t>
      </w:r>
      <w:r>
        <w:rPr>
          <w:rFonts w:ascii="仿宋_GB2312" w:cs="仿宋" w:hAnsi="仿宋_GB2312" w:hint="eastAsia"/>
          <w:snapToGrid w:val="0"/>
          <w:spacing w:val="-4"/>
          <w:sz w:val="32"/>
          <w:szCs w:val="32"/>
        </w:rPr>
        <w:t>，</w:t>
      </w:r>
      <w:r>
        <w:rPr>
          <w:rFonts w:ascii="仿宋_GB2312" w:eastAsia="仿宋_GB2312" w:cs="仿宋" w:hint="eastAsia"/>
          <w:snapToGrid w:val="0"/>
          <w:spacing w:val="-4"/>
          <w:sz w:val="32"/>
          <w:szCs w:val="32"/>
        </w:rPr>
        <w:t>并接受当地人民政府有关部门的指导、监督和检查。</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第十一条</w:t>
      </w:r>
      <w:r>
        <w:rPr>
          <w:rFonts w:ascii="仿宋_GB2312" w:eastAsia="仿宋_GB2312" w:cs="仿宋" w:hint="eastAsia"/>
          <w:snapToGrid w:val="0"/>
          <w:spacing w:val="-4"/>
          <w:sz w:val="32"/>
          <w:szCs w:val="32"/>
        </w:rPr>
        <w:t xml:space="preserve">  宗教活动场所管理组织应当教育信教公民爱国守法和遵守宗教活动场所的管理制度，依法保护场所内的文物、建筑、设施、园林，做好治安、消防、卫生等工作。</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宗教活动场所管理组织主要负责人为场所安全责任人。</w:t>
      </w:r>
    </w:p>
    <w:p>
      <w:pPr>
        <w:pStyle w:val="22"/>
        <w:spacing w:before="0" w:beforeAutospacing="0" w:after="0" w:afterAutospacing="0" w:line="580" w:lineRule="exact"/>
        <w:ind w:firstLineChars="200" w:firstLine="606"/>
        <w:jc w:val="both"/>
        <w:rPr>
          <w:rFonts w:ascii="仿宋_GB2312" w:eastAsia="仿宋_GB2312" w:cs="仿宋"/>
          <w:snapToGrid w:val="0"/>
          <w:spacing w:val="-4"/>
          <w:kern w:val="2"/>
          <w:sz w:val="32"/>
          <w:szCs w:val="32"/>
        </w:rPr>
      </w:pPr>
      <w:r>
        <w:rPr>
          <w:rFonts w:ascii="黑体" w:eastAsia="黑体" w:cs="黑体" w:hint="eastAsia"/>
          <w:snapToGrid w:val="0"/>
          <w:spacing w:val="-4"/>
          <w:kern w:val="2"/>
          <w:sz w:val="32"/>
          <w:szCs w:val="32"/>
        </w:rPr>
        <w:t xml:space="preserve">第十二条  </w:t>
      </w:r>
      <w:r>
        <w:rPr>
          <w:rFonts w:ascii="仿宋_GB2312" w:eastAsia="仿宋_GB2312" w:cs="仿宋" w:hint="eastAsia"/>
          <w:snapToGrid w:val="0"/>
          <w:spacing w:val="-4"/>
          <w:kern w:val="2"/>
          <w:sz w:val="32"/>
          <w:szCs w:val="32"/>
        </w:rPr>
        <w:t>宗教活动场所应当建立健全居住人员管理档案。在宗教活动场所居住的人员，应当依法办理户口登记或者居住登记。</w:t>
      </w:r>
    </w:p>
    <w:p>
      <w:pPr>
        <w:pStyle w:val="22"/>
        <w:spacing w:before="0" w:beforeAutospacing="0" w:after="0" w:afterAutospacing="0" w:line="580" w:lineRule="exact"/>
        <w:ind w:firstLineChars="200" w:firstLine="606"/>
        <w:jc w:val="both"/>
        <w:rPr>
          <w:rFonts w:ascii="仿宋_GB2312" w:eastAsia="仿宋_GB2312" w:cs="仿宋"/>
          <w:snapToGrid w:val="0"/>
          <w:spacing w:val="-4"/>
          <w:kern w:val="2"/>
          <w:sz w:val="32"/>
          <w:szCs w:val="32"/>
        </w:rPr>
      </w:pPr>
      <w:r>
        <w:rPr>
          <w:rFonts w:ascii="黑体" w:eastAsia="黑体" w:cs="黑体" w:hint="eastAsia"/>
          <w:snapToGrid w:val="0"/>
          <w:spacing w:val="-4"/>
          <w:kern w:val="2"/>
          <w:sz w:val="32"/>
          <w:szCs w:val="32"/>
        </w:rPr>
        <w:t xml:space="preserve">第十三条  </w:t>
      </w:r>
      <w:r>
        <w:rPr>
          <w:rFonts w:ascii="仿宋_GB2312" w:eastAsia="仿宋_GB2312" w:cs="仿宋" w:hint="eastAsia"/>
          <w:snapToGrid w:val="0"/>
          <w:spacing w:val="-4"/>
          <w:kern w:val="2"/>
          <w:sz w:val="32"/>
          <w:szCs w:val="32"/>
        </w:rPr>
        <w:t>宗教活动场所应当对燃香、燃烛等行为进行管理和规范，不得在殿堂内设置开放式燃香、燃烛点。</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黑体" w:eastAsia="黑体" w:cs="黑体" w:hint="eastAsia"/>
          <w:snapToGrid w:val="0"/>
          <w:spacing w:val="-4"/>
          <w:sz w:val="32"/>
          <w:szCs w:val="32"/>
        </w:rPr>
        <w:t xml:space="preserve">第十四条  </w:t>
      </w:r>
      <w:r>
        <w:rPr>
          <w:rFonts w:ascii="仿宋_GB2312" w:eastAsia="仿宋_GB2312" w:cs="仿宋" w:hint="eastAsia"/>
          <w:snapToGrid w:val="0"/>
          <w:spacing w:val="-4"/>
          <w:sz w:val="32"/>
          <w:szCs w:val="32"/>
        </w:rPr>
        <w:t>信教公民的集体宗教活动，一般应当在宗教活动场所内举行，由宗教活动场所、宗教团体或者宗教院校组织，由宗教教职人员或者符合本宗教规定的其他人员主持，按照教义教规进行。</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黑体" w:eastAsia="黑体" w:cs="黑体" w:hint="eastAsia"/>
          <w:snapToGrid w:val="0"/>
          <w:spacing w:val="-4"/>
          <w:sz w:val="32"/>
          <w:szCs w:val="32"/>
        </w:rPr>
        <w:t>第十五条</w:t>
      </w:r>
      <w:r>
        <w:rPr>
          <w:rFonts w:ascii="仿宋_GB2312" w:eastAsia="仿宋_GB2312" w:cs="仿宋" w:hint="eastAsia"/>
          <w:snapToGrid w:val="0"/>
          <w:spacing w:val="-4"/>
          <w:sz w:val="32"/>
          <w:szCs w:val="32"/>
        </w:rPr>
        <w:t xml:space="preserve">  宗教活动应当遵守国家的法律、法规。任何组织和个人不得利用宗教活动场所进行破坏国家统一、民族团结、社会安定、损害公民身体健康和妨碍国家教育制度等活动。</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黑体" w:eastAsia="黑体" w:cs="黑体" w:hint="eastAsia"/>
          <w:snapToGrid w:val="0"/>
          <w:spacing w:val="-4"/>
          <w:sz w:val="32"/>
          <w:szCs w:val="32"/>
        </w:rPr>
        <w:t>第十六条</w:t>
      </w:r>
      <w:r>
        <w:rPr>
          <w:rFonts w:ascii="仿宋_GB2312" w:eastAsia="仿宋_GB2312" w:cs="仿宋" w:hint="eastAsia"/>
          <w:snapToGrid w:val="0"/>
          <w:spacing w:val="-4"/>
          <w:sz w:val="32"/>
          <w:szCs w:val="32"/>
        </w:rPr>
        <w:t xml:space="preserve">  外国人在本市境内参加宗教活动，应当遵守《中华人民共和国境内外国人宗教活动管理规定》《浙江省宗教事务条例》。</w:t>
      </w:r>
    </w:p>
    <w:p>
      <w:pPr>
        <w:adjustRightInd w:val="0"/>
        <w:snapToGrid w:val="0"/>
        <w:spacing w:line="580" w:lineRule="exact"/>
        <w:ind w:firstLineChars="200" w:firstLine="566"/>
        <w:rPr>
          <w:rFonts w:ascii="仿宋_GB2312" w:eastAsia="仿宋_GB2312" w:cs="仿宋"/>
          <w:snapToGrid w:val="0"/>
          <w:spacing w:val="-4"/>
          <w:kern w:val="0"/>
          <w:sz w:val="32"/>
          <w:szCs w:val="32"/>
        </w:rPr>
      </w:pPr>
      <w:r>
        <w:rPr>
          <w:rFonts w:ascii="黑体" w:eastAsia="黑体" w:cs="黑体" w:hint="eastAsia"/>
          <w:snapToGrid w:val="0"/>
          <w:spacing w:val="-14"/>
          <w:sz w:val="32"/>
          <w:szCs w:val="32"/>
        </w:rPr>
        <w:t xml:space="preserve">第十七条  </w:t>
      </w:r>
      <w:r>
        <w:rPr>
          <w:rFonts w:ascii="仿宋_GB2312" w:eastAsia="仿宋_GB2312" w:cs="仿宋" w:hint="eastAsia"/>
          <w:snapToGrid w:val="0"/>
          <w:spacing w:val="-4"/>
          <w:kern w:val="0"/>
          <w:sz w:val="32"/>
          <w:szCs w:val="32"/>
        </w:rPr>
        <w:t>宗教活动场所可以按照国家有关规定接受境内外组织和个人的捐赠，用于与其宗旨相符的活动。</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任何组织和个人捐资修建宗教活动场所，不享有该宗教活动场所的所有权、使用权，不得从该宗教活动场所获得经济收益，不得干预宗教活动场所的内部事务。</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黑体" w:eastAsia="黑体" w:cs="黑体" w:hint="eastAsia"/>
          <w:snapToGrid w:val="0"/>
          <w:spacing w:val="-4"/>
          <w:sz w:val="32"/>
          <w:szCs w:val="32"/>
        </w:rPr>
        <w:t>第十八条</w:t>
      </w:r>
      <w:r>
        <w:rPr>
          <w:rFonts w:ascii="仿宋_GB2312" w:eastAsia="仿宋_GB2312" w:cs="仿宋" w:hint="eastAsia"/>
          <w:snapToGrid w:val="0"/>
          <w:spacing w:val="-4"/>
          <w:sz w:val="32"/>
          <w:szCs w:val="32"/>
        </w:rPr>
        <w:t xml:space="preserve">  在宗教活动场所内，宗教活动场所管理组织可以按照国家有关规定经营销售宗教用品、宗教艺术品和合法出版的宗教书刊、宗教音像制品。</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第十</w:t>
      </w:r>
      <w:r>
        <w:rPr>
          <w:rFonts w:ascii="黑体" w:eastAsia="黑体" w:cs="黑体" w:hint="eastAsia"/>
          <w:snapToGrid w:val="0"/>
          <w:spacing w:val="-4"/>
          <w:kern w:val="0"/>
          <w:sz w:val="32"/>
          <w:szCs w:val="32"/>
        </w:rPr>
        <w:t>九</w:t>
      </w:r>
      <w:r>
        <w:rPr>
          <w:rFonts w:ascii="黑体" w:eastAsia="黑体" w:cs="黑体" w:hint="eastAsia"/>
          <w:snapToGrid w:val="0"/>
          <w:spacing w:val="-4"/>
          <w:sz w:val="32"/>
          <w:szCs w:val="32"/>
        </w:rPr>
        <w:t>条</w:t>
      </w:r>
      <w:r>
        <w:rPr>
          <w:rFonts w:ascii="仿宋_GB2312" w:eastAsia="仿宋_GB2312" w:cs="仿宋" w:hint="eastAsia"/>
          <w:snapToGrid w:val="0"/>
          <w:spacing w:val="-4"/>
          <w:sz w:val="32"/>
          <w:szCs w:val="32"/>
        </w:rPr>
        <w:t xml:space="preserve">  宗教活动场所的财产和收入应当由相应的管理组织依法依规进行管理和使用，其他任何组织和个人不得非法侵占或者无偿调用。</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宗教活动场所应当在每年第一季度向宗教事务部门报告上一年度的财务收支情况和接受、使用捐赠情况，并以适当方式向信教公民公布。</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黑体" w:eastAsia="黑体" w:cs="黑体" w:hint="eastAsia"/>
          <w:snapToGrid w:val="0"/>
          <w:spacing w:val="-4"/>
          <w:sz w:val="32"/>
          <w:szCs w:val="32"/>
        </w:rPr>
        <w:t>第二十条</w:t>
      </w:r>
      <w:r>
        <w:rPr>
          <w:rFonts w:ascii="仿宋_GB2312" w:eastAsia="仿宋_GB2312" w:cs="仿宋" w:hint="eastAsia"/>
          <w:snapToGrid w:val="0"/>
          <w:spacing w:val="-4"/>
          <w:sz w:val="32"/>
          <w:szCs w:val="32"/>
        </w:rPr>
        <w:t xml:space="preserve">  宗教活动场所所有的房屋和使用的土地等不动产，应当依法向县级以上地方人民政府不动产登记机构申请不动产登记，领取不动产权证书。</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第二十一条</w:t>
      </w:r>
      <w:r>
        <w:rPr>
          <w:rFonts w:ascii="仿宋_GB2312" w:eastAsia="仿宋_GB2312" w:cs="仿宋" w:hint="eastAsia"/>
          <w:snapToGrid w:val="0"/>
          <w:spacing w:val="-4"/>
          <w:sz w:val="32"/>
          <w:szCs w:val="32"/>
        </w:rPr>
        <w:t xml:space="preserve">  为了公共利益需要，征收宗教活动场所房屋的，应当按照房屋征收的有关规定执行。宗教活动场所可以选择货币补偿，也可以选择房屋产权调换或者重建。</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拟征收的房屋、构筑物属于文物保护单位或者文物保护点的，应当按照文物保护的相关法律、法规的规定办理。</w:t>
      </w:r>
    </w:p>
    <w:p>
      <w:pPr>
        <w:adjustRightInd w:val="0"/>
        <w:snapToGrid w:val="0"/>
        <w:spacing w:line="580" w:lineRule="exact"/>
        <w:ind w:firstLineChars="200" w:firstLine="598"/>
        <w:rPr>
          <w:rFonts w:ascii="仿宋_GB2312" w:eastAsia="仿宋_GB2312" w:cs="仿宋"/>
          <w:snapToGrid w:val="0"/>
          <w:spacing w:val="-6"/>
          <w:sz w:val="32"/>
          <w:szCs w:val="32"/>
        </w:rPr>
      </w:pPr>
      <w:r>
        <w:rPr>
          <w:rFonts w:ascii="黑体" w:eastAsia="黑体" w:cs="黑体" w:hint="eastAsia"/>
          <w:snapToGrid w:val="0"/>
          <w:spacing w:val="-6"/>
          <w:sz w:val="32"/>
          <w:szCs w:val="32"/>
        </w:rPr>
        <w:t>第二十二条</w:t>
      </w:r>
      <w:r>
        <w:rPr>
          <w:rFonts w:ascii="仿宋_GB2312" w:eastAsia="仿宋_GB2312" w:cs="仿宋" w:hint="eastAsia"/>
          <w:snapToGrid w:val="0"/>
          <w:spacing w:val="-6"/>
          <w:sz w:val="32"/>
          <w:szCs w:val="32"/>
        </w:rPr>
        <w:t xml:space="preserve">  在宗教活动场所内拍摄电影、电视片等，应当事先征得宗教活动场所管理组织同意，并到有关部门办理手续。</w:t>
      </w:r>
    </w:p>
    <w:p>
      <w:pPr>
        <w:pStyle w:val="22"/>
        <w:spacing w:before="0" w:beforeAutospacing="0" w:after="0" w:afterAutospacing="0" w:line="580" w:lineRule="exact"/>
        <w:ind w:firstLineChars="200" w:firstLine="590"/>
        <w:jc w:val="both"/>
        <w:rPr>
          <w:rFonts w:ascii="仿宋_GB2312" w:eastAsia="仿宋_GB2312" w:cs="仿宋"/>
          <w:snapToGrid w:val="0"/>
          <w:spacing w:val="-8"/>
          <w:sz w:val="32"/>
          <w:szCs w:val="32"/>
        </w:rPr>
      </w:pPr>
      <w:r>
        <w:rPr>
          <w:rFonts w:ascii="仿宋_GB2312" w:eastAsia="仿宋_GB2312" w:cs="仿宋" w:hint="eastAsia"/>
          <w:snapToGrid w:val="0"/>
          <w:spacing w:val="-8"/>
          <w:sz w:val="32"/>
          <w:szCs w:val="32"/>
        </w:rPr>
        <w:t>境外组织和个人在宗教活动场所内拍摄电影、电视片和新闻采访等，按照国家有关规定办理。</w:t>
      </w:r>
    </w:p>
    <w:p>
      <w:pPr>
        <w:adjustRightInd w:val="0"/>
        <w:snapToGrid w:val="0"/>
        <w:spacing w:line="580" w:lineRule="exact"/>
        <w:ind w:firstLineChars="200" w:firstLine="598"/>
        <w:rPr>
          <w:rFonts w:ascii="仿宋_GB2312" w:eastAsia="仿宋_GB2312" w:cs="仿宋"/>
          <w:snapToGrid w:val="0"/>
          <w:spacing w:val="-6"/>
          <w:sz w:val="32"/>
          <w:szCs w:val="32"/>
        </w:rPr>
      </w:pPr>
      <w:r>
        <w:rPr>
          <w:rFonts w:ascii="黑体" w:eastAsia="黑体" w:cs="黑体" w:hint="eastAsia"/>
          <w:snapToGrid w:val="0"/>
          <w:spacing w:val="-6"/>
          <w:sz w:val="32"/>
          <w:szCs w:val="32"/>
        </w:rPr>
        <w:t>第二十</w:t>
      </w:r>
      <w:r>
        <w:rPr>
          <w:rStyle w:val="25"/>
          <w:rFonts w:ascii="黑体" w:eastAsia="黑体" w:cs="黑体"/>
          <w:spacing w:val="-6"/>
          <w:sz w:val="32"/>
          <w:szCs w:val="32"/>
        </w:rPr>
        <w:t>三</w:t>
      </w:r>
      <w:r>
        <w:rPr>
          <w:rFonts w:ascii="黑体" w:eastAsia="黑体" w:cs="黑体" w:hint="eastAsia"/>
          <w:snapToGrid w:val="0"/>
          <w:spacing w:val="-6"/>
          <w:sz w:val="32"/>
          <w:szCs w:val="32"/>
        </w:rPr>
        <w:t>条</w:t>
      </w:r>
      <w:r>
        <w:rPr>
          <w:rFonts w:ascii="仿宋_GB2312" w:eastAsia="仿宋_GB2312" w:cs="仿宋" w:hint="eastAsia"/>
          <w:snapToGrid w:val="0"/>
          <w:spacing w:val="-6"/>
          <w:sz w:val="32"/>
          <w:szCs w:val="32"/>
        </w:rPr>
        <w:t xml:space="preserve">  任何组织和个人未经宗教活动场所管理组织同意，不得在该场所内设立商业服务网点、兜售商品和举办陈列展览等活动。</w:t>
      </w:r>
    </w:p>
    <w:p>
      <w:pPr>
        <w:adjustRightInd w:val="0"/>
        <w:snapToGrid w:val="0"/>
        <w:spacing w:line="580" w:lineRule="exact"/>
        <w:ind w:firstLineChars="200" w:firstLine="598"/>
        <w:rPr>
          <w:rFonts w:ascii="仿宋_GB2312" w:eastAsia="仿宋_GB2312" w:cs="仿宋"/>
          <w:snapToGrid w:val="0"/>
          <w:spacing w:val="-6"/>
          <w:sz w:val="32"/>
          <w:szCs w:val="32"/>
        </w:rPr>
      </w:pPr>
      <w:r>
        <w:rPr>
          <w:rFonts w:ascii="仿宋_GB2312" w:eastAsia="仿宋_GB2312" w:cs="仿宋" w:hint="eastAsia"/>
          <w:snapToGrid w:val="0"/>
          <w:spacing w:val="-6"/>
          <w:sz w:val="32"/>
          <w:szCs w:val="32"/>
        </w:rPr>
        <w:t>在宗教活动场所内及其周围商业服务网点的营业性活动和其他活动，应当尊重宗教习俗，并遵守有关管理规定。</w:t>
      </w:r>
    </w:p>
    <w:p>
      <w:pPr>
        <w:pStyle w:val="22"/>
        <w:spacing w:before="0" w:beforeAutospacing="0" w:after="0" w:afterAutospacing="0" w:line="580" w:lineRule="exact"/>
        <w:ind w:firstLineChars="200" w:firstLine="590"/>
        <w:jc w:val="both"/>
        <w:rPr>
          <w:rFonts w:ascii="仿宋_GB2312" w:eastAsia="仿宋_GB2312" w:cs="仿宋"/>
          <w:snapToGrid w:val="0"/>
          <w:spacing w:val="-8"/>
          <w:sz w:val="32"/>
          <w:szCs w:val="32"/>
        </w:rPr>
      </w:pPr>
      <w:r>
        <w:rPr>
          <w:rFonts w:ascii="仿宋_GB2312" w:eastAsia="仿宋_GB2312" w:cs="仿宋" w:hint="eastAsia"/>
          <w:snapToGrid w:val="0"/>
          <w:spacing w:val="-8"/>
          <w:sz w:val="32"/>
          <w:szCs w:val="32"/>
        </w:rPr>
        <w:t>市场监督管理部门应当加强对宗教活动场所内及其周围商业服务网点营业性活动的管理。</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黑体" w:eastAsia="黑体" w:cs="黑体" w:hint="eastAsia"/>
          <w:snapToGrid w:val="0"/>
          <w:spacing w:val="-4"/>
          <w:sz w:val="32"/>
          <w:szCs w:val="32"/>
        </w:rPr>
        <w:t>第二十四条</w:t>
      </w:r>
      <w:r>
        <w:rPr>
          <w:rFonts w:ascii="仿宋_GB2312" w:eastAsia="仿宋_GB2312" w:cs="仿宋" w:hint="eastAsia"/>
          <w:snapToGrid w:val="0"/>
          <w:spacing w:val="-4"/>
          <w:sz w:val="32"/>
          <w:szCs w:val="32"/>
        </w:rPr>
        <w:t xml:space="preserve">  需购买门票的宗教活动场所和内设有宗教活动场所的旅游景区（点），应当对前往宗教活动场所的以下人员免收门票，但旅游景区（点）内提供索道、观光车、游艇等服务项目的费用可以不予免除：</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 xml:space="preserve">（一）该宗教活动场所内的宗教教职人员及其工作人员； </w:t>
      </w:r>
    </w:p>
    <w:p>
      <w:pPr>
        <w:adjustRightInd w:val="0"/>
        <w:snapToGrid w:val="0"/>
        <w:spacing w:line="580" w:lineRule="exact"/>
        <w:ind w:firstLineChars="200" w:firstLine="606"/>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 xml:space="preserve">（二）同一宗教的宗教教职人员； </w:t>
      </w:r>
    </w:p>
    <w:p>
      <w:pPr>
        <w:pStyle w:val="22"/>
        <w:spacing w:before="0" w:beforeAutospacing="0" w:after="0" w:afterAutospacing="0" w:line="580" w:lineRule="exact"/>
        <w:ind w:firstLineChars="200" w:firstLine="606"/>
        <w:jc w:val="both"/>
        <w:rPr>
          <w:rFonts w:ascii="仿宋_GB2312" w:eastAsia="仿宋_GB2312" w:cs="仿宋"/>
          <w:snapToGrid w:val="0"/>
          <w:spacing w:val="-4"/>
          <w:sz w:val="32"/>
          <w:szCs w:val="32"/>
        </w:rPr>
      </w:pPr>
      <w:r>
        <w:rPr>
          <w:rFonts w:ascii="仿宋_GB2312" w:eastAsia="仿宋_GB2312" w:cs="仿宋" w:hint="eastAsia"/>
          <w:snapToGrid w:val="0"/>
          <w:spacing w:val="-4"/>
          <w:sz w:val="32"/>
          <w:szCs w:val="32"/>
        </w:rPr>
        <w:t>（三）国家规定应当免收门票的其他人员。</w:t>
      </w:r>
    </w:p>
    <w:p>
      <w:pPr>
        <w:pStyle w:val="22"/>
        <w:spacing w:before="0" w:beforeAutospacing="0" w:after="0" w:afterAutospacing="0" w:line="580" w:lineRule="exact"/>
        <w:ind w:firstLineChars="200" w:firstLine="606"/>
        <w:jc w:val="both"/>
        <w:rPr>
          <w:rFonts w:ascii="仿宋" w:eastAsia="仿宋" w:cs="仿宋"/>
          <w:snapToGrid w:val="0"/>
          <w:spacing w:val="-4"/>
          <w:sz w:val="32"/>
          <w:szCs w:val="32"/>
        </w:rPr>
      </w:pPr>
      <w:r>
        <w:rPr>
          <w:rFonts w:ascii="黑体" w:eastAsia="黑体" w:cs="黑体" w:hint="eastAsia"/>
          <w:snapToGrid w:val="0"/>
          <w:spacing w:val="-4"/>
          <w:sz w:val="32"/>
          <w:szCs w:val="32"/>
        </w:rPr>
        <w:t>第二十五条</w:t>
      </w:r>
      <w:r>
        <w:rPr>
          <w:rFonts w:ascii="仿宋" w:eastAsia="仿宋" w:cs="仿宋" w:hint="eastAsia"/>
          <w:snapToGrid w:val="0"/>
          <w:spacing w:val="-4"/>
          <w:sz w:val="32"/>
          <w:szCs w:val="32"/>
        </w:rPr>
        <w:t xml:space="preserve">  违反本办法规定，有关法律、法规已有法律责任规定的，从其规定。</w:t>
      </w:r>
    </w:p>
    <w:p>
      <w:pPr>
        <w:pStyle w:val="22"/>
        <w:spacing w:before="0" w:beforeAutospacing="0" w:after="0" w:afterAutospacing="0" w:line="580" w:lineRule="exact"/>
        <w:ind w:firstLineChars="200" w:firstLine="606"/>
        <w:jc w:val="both"/>
        <w:rPr>
          <w:rFonts w:ascii="仿宋" w:eastAsia="仿宋" w:cs="仿宋"/>
          <w:snapToGrid w:val="0"/>
          <w:spacing w:val="-4"/>
          <w:sz w:val="32"/>
          <w:szCs w:val="32"/>
        </w:rPr>
      </w:pPr>
      <w:r>
        <w:rPr>
          <w:rFonts w:ascii="黑体" w:eastAsia="黑体" w:cs="黑体" w:hint="eastAsia"/>
          <w:snapToGrid w:val="0"/>
          <w:spacing w:val="-4"/>
          <w:sz w:val="32"/>
          <w:szCs w:val="32"/>
        </w:rPr>
        <w:t xml:space="preserve">第二十六条  </w:t>
      </w:r>
      <w:r>
        <w:rPr>
          <w:rFonts w:ascii="仿宋" w:eastAsia="仿宋" w:cs="仿宋" w:hint="eastAsia"/>
          <w:snapToGrid w:val="0"/>
          <w:spacing w:val="-4"/>
          <w:sz w:val="32"/>
          <w:szCs w:val="32"/>
        </w:rPr>
        <w:t>宗教活动场所违反本办法第十条规定，未建立有关管理制度或者管理制度不符合要求的，由宗教事务部门责令改正；情节较重的，由登记管理机关责令宗教活动场所撤换直接负责的主管人员；情节严重的，由登记管理机关责令停止日常活动，改组管理组织，限期整改，拒不整改的，依法吊销其登记证书；有违法所得、非法财物的，予以没收。</w:t>
      </w:r>
    </w:p>
    <w:p>
      <w:pPr>
        <w:pStyle w:val="22"/>
        <w:spacing w:before="0" w:beforeAutospacing="0" w:after="0" w:afterAutospacing="0" w:line="580" w:lineRule="exact"/>
        <w:ind w:firstLineChars="200" w:firstLine="606"/>
        <w:jc w:val="both"/>
        <w:rPr>
          <w:rFonts w:ascii="黑体" w:eastAsia="黑体" w:cs="黑体"/>
          <w:snapToGrid w:val="0"/>
          <w:spacing w:val="-4"/>
          <w:sz w:val="32"/>
          <w:szCs w:val="32"/>
        </w:rPr>
      </w:pPr>
      <w:r>
        <w:rPr>
          <w:rFonts w:ascii="黑体" w:eastAsia="黑体" w:cs="黑体" w:hint="eastAsia"/>
          <w:snapToGrid w:val="0"/>
          <w:spacing w:val="-4"/>
          <w:sz w:val="32"/>
          <w:szCs w:val="32"/>
        </w:rPr>
        <w:t xml:space="preserve">第二十七条  </w:t>
      </w:r>
      <w:r>
        <w:rPr>
          <w:rFonts w:ascii="仿宋" w:eastAsia="仿宋" w:cs="仿宋" w:hint="eastAsia"/>
          <w:snapToGrid w:val="0"/>
          <w:spacing w:val="-4"/>
          <w:sz w:val="32"/>
          <w:szCs w:val="32"/>
        </w:rPr>
        <w:t>宗教活动场所违反本办法第十三条规定，在殿堂内设置开放式燃香、燃烛点的，由宗教事务部门责令限期改正；逾期未改正的，处一千元以上五千元以下罚款。</w:t>
      </w:r>
    </w:p>
    <w:p>
      <w:pPr>
        <w:pStyle w:val="22"/>
        <w:spacing w:before="0" w:beforeAutospacing="0" w:after="0" w:afterAutospacing="0" w:line="580" w:lineRule="exact"/>
        <w:ind w:firstLineChars="200" w:firstLine="606"/>
        <w:jc w:val="both"/>
        <w:rPr>
          <w:rFonts w:ascii="仿宋" w:eastAsia="仿宋" w:cs="仿宋"/>
          <w:snapToGrid w:val="0"/>
          <w:spacing w:val="-4"/>
          <w:sz w:val="32"/>
          <w:szCs w:val="32"/>
        </w:rPr>
      </w:pPr>
      <w:r>
        <w:rPr>
          <w:rFonts w:ascii="黑体" w:eastAsia="黑体" w:cs="黑体" w:hint="eastAsia"/>
          <w:snapToGrid w:val="0"/>
          <w:spacing w:val="-4"/>
          <w:sz w:val="32"/>
          <w:szCs w:val="32"/>
        </w:rPr>
        <w:t xml:space="preserve">第二十八条  </w:t>
      </w:r>
      <w:r>
        <w:rPr>
          <w:rFonts w:ascii="仿宋" w:eastAsia="仿宋" w:cs="仿宋" w:hint="eastAsia"/>
          <w:snapToGrid w:val="0"/>
          <w:spacing w:val="-4"/>
          <w:sz w:val="32"/>
          <w:szCs w:val="32"/>
        </w:rPr>
        <w:t>国家机关及其工作人员在宗教活动场所管理工作中，未依法履行职责，或者有其他徇私舞弊、玩忽职守、滥用职权行为的，由有权机关对直接负责的主管人员和其他直接责任人员依法给予处分。</w:t>
      </w:r>
    </w:p>
    <w:p>
      <w:pPr>
        <w:spacing w:line="580" w:lineRule="exact"/>
        <w:ind w:firstLineChars="200" w:firstLine="606"/>
        <w:rPr>
          <w:rFonts w:ascii="仿宋_GB2312" w:eastAsia="仿宋_GB2312" w:cs="仿宋_GB2312"/>
          <w:snapToGrid w:val="0"/>
          <w:kern w:val="0"/>
          <w:sz w:val="32"/>
          <w:szCs w:val="32"/>
        </w:rPr>
      </w:pPr>
      <w:r>
        <w:rPr>
          <w:rFonts w:ascii="黑体" w:eastAsia="黑体" w:cs="黑体" w:hint="eastAsia"/>
          <w:snapToGrid w:val="0"/>
          <w:spacing w:val="-4"/>
          <w:sz w:val="32"/>
          <w:szCs w:val="32"/>
        </w:rPr>
        <w:t>第二十九条</w:t>
      </w:r>
      <w:r>
        <w:rPr>
          <w:rFonts w:ascii="仿宋_GB2312" w:eastAsia="仿宋_GB2312" w:cs="仿宋" w:hint="eastAsia"/>
          <w:snapToGrid w:val="0"/>
          <w:spacing w:val="-4"/>
          <w:sz w:val="32"/>
          <w:szCs w:val="32"/>
        </w:rPr>
        <w:t xml:space="preserve">  本办法自公布之日起施行。</w:t>
      </w:r>
    </w:p>
    <w:sectPr>
      <w:footerReference w:type="default" r:id="rId2"/>
      <w:footerReference w:type="even" r:id="rId3"/>
      <w:pgSz w:w="11906" w:h="16838"/>
      <w:pgMar w:top="2098" w:right="1474" w:bottom="1985" w:left="1588" w:header="851" w:footer="1418" w:gutter="0"/>
      <w:pgNumType w:fmt="numberInDash"/>
      <w:docGrid w:type="linesAndChars" w:linePitch="289" w:charSpace="-1844"/>
    </w:sectPr>
  </w:body>
</w:document>
</file>

<file path=word/fontTable.xml><?xml version="1.0" encoding="utf-8"?>
<w:fonts xmlns:w="http://schemas.openxmlformats.org/wordprocessingml/2006/main" xmlns:r="http://schemas.openxmlformats.org/officeDocument/2006/relationships">
  <w:font w:name="宋体">
    <w:altName w:val="方正书宋_GBK"/>
    <w:panose1 w:val="00000000000000000000"/>
    <w:charset w:val="00"/>
    <w:family w:val="auto"/>
    <w:pitch w:val="variable"/>
    <w:sig w:usb0="00000000" w:usb1="00000000" w:usb2="00000000" w:usb3="00000000" w:csb0="00000000" w:csb1="00000000"/>
  </w:font>
  <w:font w:name="Arial">
    <w:altName w:val="Times New Roman"/>
    <w:panose1 w:val="020B0604020202020204"/>
    <w:charset w:val="01"/>
    <w:family w:val="swiss"/>
    <w:pitch w:val="variable"/>
    <w:sig w:usb0="E0002AFF" w:usb1="C0007843" w:usb2="00000009" w:usb3="00000000" w:csb0="400001FF" w:csb1="FFFF0000"/>
  </w:font>
  <w:font w:name="Times New Roman">
    <w:panose1 w:val="02020603050405020304"/>
    <w:charset w:val="00"/>
    <w:family w:val="roman"/>
    <w:pitch w:val="variable"/>
    <w:sig w:usb0="20007A87" w:usb1="80000000" w:usb2="00000008" w:usb3="00000000" w:csb0="000001FF" w:csb1="00000000"/>
  </w:font>
  <w:font w:name="方正小标宋简体">
    <w:panose1 w:val="02000000000000000000"/>
    <w:charset w:val="86"/>
    <w:family w:val="script"/>
    <w:pitch w:val="variable"/>
    <w:sig w:usb0="A00002BF" w:usb1="184F6CFA" w:usb2="00000012" w:usb3="00000000" w:csb0="00040001" w:csb1="00000000"/>
  </w:font>
  <w:font w:name="楷体_GB2312">
    <w:panose1 w:val="02010609030101010101"/>
    <w:charset w:val="86"/>
    <w:family w:val="modern"/>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variable"/>
    <w:sig w:usb0="00000001" w:usb1="080E0000" w:usb2="00000000" w:usb3="00000000" w:csb0="00040000" w:csb1="00000000"/>
  </w:font>
  <w:font w:name="仿宋">
    <w:panose1 w:val="02010609060101010101"/>
    <w:charset w:val="86"/>
    <w:family w:val="modern"/>
    <w:pitch w:val="variable"/>
    <w:sig w:usb0="800002BF" w:usb1="38CF7CFA" w:usb2="00000016" w:usb3="00000000" w:csb0="00040001" w:csb1="00000000"/>
  </w:font>
  <w:font w:name="Calibri">
    <w:altName w:val="DejaVu Sans"/>
    <w:panose1 w:val="020F0502020204030204"/>
    <w:charset w:val="00"/>
    <w:family w:val="swiss"/>
    <w:pitch w:val="variable"/>
    <w:sig w:usb0="00000000" w:usb1="00000000" w:usb2="00000001" w:usb3="00000000" w:csb0="0000019F" w:csb1="00000000"/>
  </w:font>
  <w:font w:name="Luxi Sans">
    <w:panose1 w:val="020B0600000000000000"/>
    <w:charset w:val="00"/>
    <w:family w:val="auto"/>
    <w:pitch w:val="variable"/>
    <w:sig w:usb0="00000007" w:usb1="00000000" w:usb2="00000000" w:usb3="00000000" w:csb0="00000093"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20"/>
      <w:tabs>
        <w:tab w:val="center" w:pos="4153"/>
        <w:tab w:val="right" w:pos="8306"/>
      </w:tabs>
      <w:ind w:rightChars="111" w:right="233"/>
      <w:jc w:val="right"/>
    </w:pPr>
    <w:r>
      <mc:AlternateContent>
        <mc:Choice Requires="wps">
          <w:drawing>
            <wp:anchor distT="0" distB="0" distL="114298" distR="114298" simplePos="0" relativeHeight="14" behindDoc="0" locked="0" layoutInCell="1" hidden="0" allowOverlap="1">
              <wp:simplePos x="0" y="0"/>
              <wp:positionH relativeFrom="margin">
                <wp:align>outside</wp:align>
              </wp:positionH>
              <wp:positionV relativeFrom="paragraph">
                <wp:posOffset>0</wp:posOffset>
              </wp:positionV>
              <wp:extent cx="444499" cy="230251"/>
              <wp:effectExtent l="0" t="0" r="0" b="0"/>
              <wp:wrapNone/>
              <wp:docPr id="1" name="文本框 3"/>
              <wp:cNvGraphicFramePr>
                <a:graphicFrameLocks noChangeAspect="0"/>
              </wp:cNvGraphicFramePr>
              <a:graphic>
                <a:graphicData uri="http://schemas.microsoft.com/office/word/2010/wordprocessingShape">
                  <wps:wsp>
                    <wps:cNvSpPr/>
                    <wps:spPr>
                      <a:xfrm rot="0">
                        <a:off x="0" y="0"/>
                        <a:ext cx="444499" cy="230251"/>
                      </a:xfrm>
                      <a:prstGeom prst="rect"/>
                      <a:noFill/>
                      <a:ln w="6350" cmpd="sng" cap="flat">
                        <a:noFill/>
                        <a:prstDash val="solid"/>
                        <a:round/>
                      </a:ln>
                    </wps:spPr>
                    <wps:txbx id="2">
                      <w:txbxContent>
                        <w:p>
                          <w:pPr>
                            <w:pStyle w:val="20"/>
                            <w:tabs>
                              <w:tab w:val="center" w:pos="4153"/>
                              <w:tab w:val="right" w:pos="8306"/>
                            </w:tabs>
                            <w:rPr>
                              <w:rFonts w:ascii="宋体" w:eastAsia="宋体" w:cs="宋体"/>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sz w:val="28"/>
                              <w:szCs w:val="28"/>
                            </w:rPr>
                            <w:t>- 13 -</w:t>
                          </w:r>
                          <w:r>
                            <w:rPr>
                              <w:rFonts w:ascii="宋体" w:eastAsia="宋体" w:cs="宋体" w:hint="eastAsia"/>
                              <w:sz w:val="28"/>
                              <w:szCs w:val="28"/>
                            </w:rPr>
                            <w:fldChar w:fldCharType="end"/>
                          </w:r>
                        </w:p>
                      </w:txbxContent>
                    </wps:txbx>
                    <wps:bodyPr vert="horz" wrap="none" lIns="0" tIns="0" rIns="0" bIns="0" anchor="t" anchorCtr="0" upright="0">
                      <a:spAutoFit/>
                    </wps:bodyPr>
                  </wps:wsp>
                </a:graphicData>
              </a:graphic>
            </wp:anchor>
          </w:drawing>
        </mc:Choice>
        <mc:Fallback>
          <w:pict>
            <v:shape type="#_x0000_t202" id="文本框 3 3" o:spid="_x0000_s3" filled="f" stroked="f" strokeweight="0.5pt" style="position:absolute;margin-left:0.0pt;margin-top:0.0pt;width:34.999985pt;height:18.130003pt;z-index:14;mso-position-horizontal:outside;mso-position-horizontal-relative:margin;mso-position-vertical:absolute;mso-wrap-distance-left:8.999863pt;mso-wrap-distance-right:8.999863pt;mso-wrap-style:none;">
              <v:stroke color="#000000"/>
              <v:textbox id="850" inset="0mm,0mm,0mm,0mm" o:insetmode="custom" style="layout-flow:horizontal;v-text-anchor:top;mso-fit-shape-to-text:t;">
                <w:txbxContent>
                  <w:p>
                    <w:pPr>
                      <w:pStyle w:val="20"/>
                      <w:tabs>
                        <w:tab w:val="center" w:pos="4153"/>
                        <w:tab w:val="right" w:pos="8306"/>
                      </w:tabs>
                      <w:rPr>
                        <w:rFonts w:ascii="宋体" w:eastAsia="宋体" w:cs="宋体"/>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sz w:val="28"/>
                        <w:szCs w:val="28"/>
                      </w:rPr>
                      <w:t>- 13 -</w:t>
                    </w:r>
                    <w:r>
                      <w:rPr>
                        <w:rFonts w:ascii="宋体" w:eastAsia="宋体" w:cs="宋体" w:hint="eastAsia"/>
                        <w:sz w:val="28"/>
                        <w:szCs w:val="28"/>
                      </w:rPr>
                      <w:fldChar w:fldCharType="end"/>
                    </w:r>
                  </w:p>
                </w:txbxContent>
              </v:textbox>
            </v:shape>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20"/>
      <w:tabs>
        <w:tab w:val="center" w:pos="4153"/>
        <w:tab w:val="right" w:pos="8306"/>
      </w:tabs>
    </w:pPr>
    <w:r>
      <mc:AlternateContent>
        <mc:Choice Requires="wps">
          <w:drawing>
            <wp:anchor distT="0" distB="0" distL="114298" distR="114298" simplePos="0" relativeHeight="18" behindDoc="0" locked="0" layoutInCell="1" hidden="0" allowOverlap="1">
              <wp:simplePos x="0" y="0"/>
              <wp:positionH relativeFrom="margin">
                <wp:align>outside</wp:align>
              </wp:positionH>
              <wp:positionV relativeFrom="paragraph">
                <wp:posOffset>0</wp:posOffset>
              </wp:positionV>
              <wp:extent cx="444500" cy="230251"/>
              <wp:effectExtent l="0" t="0" r="0" b="0"/>
              <wp:wrapNone/>
              <wp:docPr id="4" name="文本框 5"/>
              <wp:cNvGraphicFramePr>
                <a:graphicFrameLocks noChangeAspect="0"/>
              </wp:cNvGraphicFramePr>
              <a:graphic>
                <a:graphicData uri="http://schemas.microsoft.com/office/word/2010/wordprocessingShape">
                  <wps:wsp>
                    <wps:cNvSpPr/>
                    <wps:spPr>
                      <a:xfrm rot="0">
                        <a:off x="0" y="0"/>
                        <a:ext cx="444500" cy="230251"/>
                      </a:xfrm>
                      <a:prstGeom prst="rect"/>
                      <a:noFill/>
                      <a:ln w="6350" cmpd="sng" cap="flat">
                        <a:noFill/>
                        <a:prstDash val="solid"/>
                        <a:round/>
                      </a:ln>
                    </wps:spPr>
                    <wps:txbx id="5">
                      <w:txbxContent>
                        <w:p>
                          <w:pPr>
                            <w:pStyle w:val="20"/>
                            <w:tabs>
                              <w:tab w:val="center" w:pos="4153"/>
                              <w:tab w:val="right" w:pos="8306"/>
                            </w:tabs>
                            <w:rPr>
                              <w:rFonts w:ascii="宋体" w:eastAsia="宋体" w:cs="宋体"/>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sz w:val="28"/>
                              <w:szCs w:val="28"/>
                            </w:rPr>
                            <w:t>- 14 -</w:t>
                          </w:r>
                          <w:r>
                            <w:rPr>
                              <w:rFonts w:ascii="宋体" w:eastAsia="宋体" w:cs="宋体" w:hint="eastAsia"/>
                              <w:sz w:val="28"/>
                              <w:szCs w:val="28"/>
                            </w:rPr>
                            <w:fldChar w:fldCharType="end"/>
                          </w:r>
                        </w:p>
                      </w:txbxContent>
                    </wps:txbx>
                    <wps:bodyPr vert="horz" wrap="none" lIns="0" tIns="0" rIns="0" bIns="0" anchor="t" anchorCtr="0" upright="0">
                      <a:spAutoFit/>
                    </wps:bodyPr>
                  </wps:wsp>
                </a:graphicData>
              </a:graphic>
            </wp:anchor>
          </w:drawing>
        </mc:Choice>
        <mc:Fallback>
          <w:pict>
            <v:shape type="#_x0000_t202" id="文本框 5 6" o:spid="_x0000_s6" filled="f" stroked="f" strokeweight="0.5pt" style="position:absolute;margin-left:0.0pt;margin-top:0.0pt;width:35.000004pt;height:18.130003pt;z-index:18;mso-position-horizontal:outside;mso-position-horizontal-relative:margin;mso-position-vertical:absolute;mso-wrap-distance-left:8.999863pt;mso-wrap-distance-right:8.999863pt;mso-wrap-style:none;">
              <v:stroke color="#000000"/>
              <v:textbox id="848" inset="0mm,0mm,0mm,0mm" o:insetmode="custom" style="layout-flow:horizontal;v-text-anchor:top;mso-fit-shape-to-text:t;">
                <w:txbxContent>
                  <w:p>
                    <w:pPr>
                      <w:pStyle w:val="20"/>
                      <w:tabs>
                        <w:tab w:val="center" w:pos="4153"/>
                        <w:tab w:val="right" w:pos="8306"/>
                      </w:tabs>
                      <w:rPr>
                        <w:rFonts w:ascii="宋体" w:eastAsia="宋体" w:cs="宋体"/>
                        <w:sz w:val="28"/>
                        <w:szCs w:val="28"/>
                      </w:rPr>
                    </w:pPr>
                    <w:r>
                      <w:rPr>
                        <w:rFonts w:ascii="宋体" w:eastAsia="宋体" w:cs="宋体" w:hint="eastAsia"/>
                        <w:sz w:val="28"/>
                        <w:szCs w:val="28"/>
                      </w:rPr>
                      <w:fldChar w:fldCharType="begin"/>
                    </w:r>
                    <w:r>
                      <w:rPr>
                        <w:rFonts w:ascii="宋体" w:eastAsia="宋体" w:cs="宋体" w:hint="eastAsia"/>
                        <w:sz w:val="28"/>
                        <w:szCs w:val="28"/>
                      </w:rPr>
                      <w:instrText xml:space="preserve"> PAGE  \* MERGEFORMAT </w:instrText>
                    </w:r>
                    <w:r>
                      <w:rPr>
                        <w:rFonts w:ascii="宋体" w:eastAsia="宋体" w:cs="宋体" w:hint="eastAsia"/>
                        <w:sz w:val="28"/>
                        <w:szCs w:val="28"/>
                      </w:rPr>
                      <w:fldChar w:fldCharType="separate"/>
                    </w:r>
                    <w:r>
                      <w:rPr>
                        <w:rFonts w:ascii="宋体" w:eastAsia="宋体" w:cs="宋体"/>
                        <w:sz w:val="28"/>
                        <w:szCs w:val="28"/>
                      </w:rPr>
                      <w:t>- 14 -</w:t>
                    </w:r>
                    <w:r>
                      <w:rPr>
                        <w:rFonts w:ascii="宋体" w:eastAsia="宋体" w:cs="宋体" w:hint="eastAsia"/>
                        <w:sz w:val="28"/>
                        <w:szCs w:val="28"/>
                      </w:rPr>
                      <w:fldChar w:fldCharType="end"/>
                    </w:r>
                  </w:p>
                </w:txbxContent>
              </v:textbox>
            </v:shape>
          </w:pict>
        </mc:Fallback>
      </mc:AlternateContent>
    </w:r>
    <w:r>
      <mc:AlternateContent>
        <mc:Choice Requires="wps">
          <w:drawing>
            <wp:anchor distT="0" distB="0" distL="114298" distR="114298" simplePos="0" relativeHeight="16" behindDoc="0" locked="0" layoutInCell="1" hidden="0" allowOverlap="1">
              <wp:simplePos x="0" y="0"/>
              <wp:positionH relativeFrom="margin">
                <wp:posOffset>0</wp:posOffset>
              </wp:positionH>
              <wp:positionV relativeFrom="paragraph">
                <wp:posOffset>-8255</wp:posOffset>
              </wp:positionV>
              <wp:extent cx="486410" cy="344170"/>
              <wp:effectExtent l="0" t="0" r="0" b="0"/>
              <wp:wrapNone/>
              <wp:docPr id="7" name="文本框 4"/>
              <wp:cNvGraphicFramePr>
                <a:graphicFrameLocks noChangeAspect="0"/>
              </wp:cNvGraphicFramePr>
              <a:graphic>
                <a:graphicData uri="http://schemas.microsoft.com/office/word/2010/wordprocessingShape">
                  <wps:wsp>
                    <wps:cNvSpPr/>
                    <wps:spPr>
                      <a:xfrm rot="0">
                        <a:off x="0" y="0"/>
                        <a:ext cx="486410" cy="344170"/>
                      </a:xfrm>
                      <a:prstGeom prst="rect"/>
                      <a:noFill/>
                      <a:ln w="6350" cmpd="sng" cap="flat">
                        <a:noFill/>
                        <a:prstDash val="solid"/>
                        <a:round/>
                      </a:ln>
                    </wps:spPr>
                    <wps:txbx id="8">
                      <w:txbxContent>
                        <w:p/>
                      </w:txbxContent>
                    </wps:txbx>
                    <wps:bodyPr vert="horz" wrap="square" lIns="0" tIns="0" rIns="0" bIns="0" anchor="t" anchorCtr="0" upright="0">
                      <a:noAutofit/>
                    </wps:bodyPr>
                  </wps:wsp>
                </a:graphicData>
              </a:graphic>
            </wp:anchor>
          </w:drawing>
        </mc:Choice>
        <mc:Fallback>
          <w:pict>
            <v:shape type="#_x0000_t202" id="文本框 4 9" o:spid="_x0000_s9" filled="f" stroked="f" strokeweight="0.5pt" style="position:absolute;margin-left:0.0pt;margin-top:-0.65pt;width:38.3pt;height:27.1pt;z-index:16;mso-position-horizontal:absolute;mso-position-horizontal-relative:margin;mso-position-vertical:absolute;mso-wrap-distance-left:8.999863pt;mso-wrap-distance-right:8.999863pt;mso-wrap-style:square;">
              <v:stroke color="#000000"/>
              <v:textbox id="849" inset="0mm,0mm,0mm,0mm" o:insetmode="custom" style="layout-flow:horizontal;v-text-anchor:top;">
                <w:txbxContent>
                  <w:p/>
                </w:txbxContent>
              </v:textbox>
            </v:shape>
          </w:pict>
        </mc:Fallback>
      </mc:AlternateConten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ocumentProtection w:edit="readOnly" w:enforcement="0"/>
  <w:defaultTabStop w:val="420"/>
  <w:evenAndOddHeaders/>
  <w:drawingGridHorizontalSpacing w:val="201"/>
  <w:drawingGridVerticalSpacing w:val="289"/>
  <w:displayHorizontalDrawingGridEvery w:val="0"/>
  <w:displayVerticalDrawingGridEvery w:val="1"/>
  <w:characterSpacingControl w:val="compressPunctuation"/>
  <w:compat>
    <w:spaceForUL/>
    <w:balanceSingleByteDoubleByteWidth/>
    <w:ulTrailSpace/>
    <w:doNotExpandShiftReturn/>
    <w:adjustLineHeightInTable/>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6"/>
    <w:pPr>
      <w:widowControl w:val="0"/>
      <w:jc w:val="both"/>
    </w:pPr>
    <w:rPr>
      <w:rFonts w:ascii="Calibri" w:eastAsia="宋体" w:cs="Calibri" w:hAnsi="Calibri"/>
      <w:kern w:val="2"/>
      <w:sz w:val="21"/>
      <w:szCs w:val="21"/>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next w:val="16"/>
    <w:pPr>
      <w:spacing w:after="120"/>
    </w:pPr>
  </w:style>
  <w:style w:type="paragraph" w:styleId="16">
    <w:name w:val="Body Text First Indent"/>
    <w:basedOn w:val="15"/>
    <w:pPr>
      <w:ind w:firstLineChars="100" w:firstLine="100"/>
    </w:pPr>
  </w:style>
  <w:style w:type="paragraph" w:styleId="17">
    <w:name w:val="Body Text Indent"/>
    <w:basedOn w:val="0"/>
    <w:pPr>
      <w:ind w:firstLine="600"/>
    </w:pPr>
    <w:rPr>
      <w:rFonts w:ascii="仿宋_GB2312" w:eastAsia="仿宋_GB2312"/>
      <w:sz w:val="30"/>
    </w:rPr>
  </w:style>
  <w:style w:type="paragraph" w:styleId="18">
    <w:name w:val="Body Text Indent 2"/>
    <w:basedOn w:val="0"/>
    <w:pPr>
      <w:spacing w:line="640" w:lineRule="exact"/>
      <w:ind w:firstLine="113"/>
      <w:jc w:val="center"/>
    </w:pPr>
    <w:rPr>
      <w:rFonts w:ascii="黑体" w:eastAsia="黑体"/>
      <w:spacing w:val="8"/>
      <w:w w:val="97"/>
      <w:sz w:val="44"/>
    </w:rPr>
  </w:style>
  <w:style w:type="paragraph" w:styleId="19">
    <w:name w:val="Balloon Text"/>
    <w:basedOn w:val="0"/>
    <w:rPr>
      <w:sz w:val="18"/>
      <w:szCs w:val="18"/>
    </w:rPr>
  </w:style>
  <w:style w:type="paragraph" w:styleId="20">
    <w:name w:val="footer"/>
    <w:basedOn w:val="0"/>
    <w:pPr>
      <w:tabs>
        <w:tab w:val="center" w:pos="4153"/>
        <w:tab w:val="right" w:pos="8306"/>
      </w:tabs>
      <w:snapToGrid w:val="0"/>
      <w:jc w:val="left"/>
    </w:pPr>
    <w:rPr>
      <w:sz w:val="18"/>
      <w:szCs w:val="18"/>
    </w:rPr>
  </w:style>
  <w:style w:type="paragraph" w:styleId="21">
    <w:name w:val="header"/>
    <w:basedOn w:val="0"/>
    <w:pPr>
      <w:pBdr>
        <w:bottom w:val="single" w:sz="6" w:space="1" w:color="auto"/>
      </w:pBdr>
      <w:tabs>
        <w:tab w:val="center" w:pos="4153"/>
        <w:tab w:val="right" w:pos="8306"/>
      </w:tabs>
      <w:snapToGrid w:val="0"/>
      <w:jc w:val="center"/>
    </w:pPr>
    <w:rPr>
      <w:sz w:val="18"/>
      <w:szCs w:val="18"/>
    </w:rPr>
  </w:style>
  <w:style w:type="paragraph" w:styleId="22">
    <w:name w:val="Normal (Web)"/>
    <w:basedOn w:val="0"/>
    <w:pPr>
      <w:spacing w:before="100" w:beforeAutospacing="1" w:after="100" w:afterAutospacing="1"/>
      <w:jc w:val="left"/>
    </w:pPr>
    <w:rPr>
      <w:rFonts w:cs="Times New Roman"/>
      <w:kern w:val="0"/>
      <w:sz w:val="24"/>
    </w:rPr>
  </w:style>
  <w:style w:type="character" w:styleId="23">
    <w:name w:val="Strong"/>
    <w:basedOn w:val="10"/>
    <w:rPr>
      <w:b/>
      <w:bCs/>
    </w:rPr>
  </w:style>
  <w:style w:type="paragraph" w:styleId="24">
    <w:name w:val="No Spacing"/>
    <w:pPr>
      <w:widowControl w:val="0"/>
      <w:jc w:val="both"/>
    </w:pPr>
    <w:rPr>
      <w:rFonts w:ascii="Times New Roman" w:eastAsia="宋体" w:cs="Times New Roman" w:hAnsi="Times New Roman"/>
      <w:kern w:val="2"/>
      <w:sz w:val="21"/>
      <w:szCs w:val="24"/>
      <w:lang w:val="en-US" w:eastAsia="zh-CN" w:bidi="ar-SA"/>
    </w:rPr>
  </w:style>
  <w:style w:type="character" w:customStyle="1" w:styleId="25">
    <w:name w:val="font101"/>
    <w:rPr>
      <w:rFonts w:ascii="仿宋" w:eastAsia="仿宋" w:cs="仿宋"/>
      <w:color w:val="000000"/>
      <w:sz w:val="22"/>
      <w:szCs w:val="22"/>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44</TotalTime>
  <Application>Yozo_Office27021597764231179</Application>
  <Pages>7</Pages>
  <Words>2829</Words>
  <Characters>2854</Characters>
  <Lines>132</Lines>
  <Paragraphs>49</Paragraphs>
  <CharactersWithSpaces>2924</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zjrd</cp:lastModifiedBy>
  <cp:revision>43</cp:revision>
  <cp:lastPrinted>2021-08-13T10:06:00Z</cp:lastPrinted>
  <dcterms:created xsi:type="dcterms:W3CDTF">2020-08-10T19:05:00Z</dcterms:created>
  <dcterms:modified xsi:type="dcterms:W3CDTF">2021-08-24T03:02:42Z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ies>
</file>