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杭州市人民代表大会常务委员会关于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修改《杭州市城市国际化促进条例》的决定</w:t>
      </w: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（2023年4月28日杭州市第十四届人民代表大会常务委员会第十次会议通过　2023年5月26日浙江省第十四届人民代表大会常务委员会第三次会议批准）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杭州市第十四届人民代表大会常务委员会第十次会议决定对《杭州市城市国际化促进条例》作如下修改：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将第四十二条修改为</w:t>
      </w:r>
      <w:r>
        <w:rPr>
          <w:rFonts w:hint="eastAsia" w:ascii="仿宋_GB2312" w:hAnsi="仿宋_GB2312"/>
          <w:sz w:val="32"/>
          <w:lang w:eastAsia="zh-CN"/>
        </w:rPr>
        <w:t>：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“市和区、县（市）人民政府应当依法保护杭州西湖文化景观、中国大运河（杭州段）、良渚古城遗址等世界文化遗产，推进跨湖桥、南宋皇城、西溪湿地等文化遗址保护与开发，传承非物质文化遗产和优秀传统文化，展示丝绸、茶叶、中医药、金石篆刻等特色文化。培育时尚文化，发展文化创意产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删去第四十五条第二款。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《杭州市城市国际化促进条例》根据本决定作相应修改，重新公布。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B9B40AD"/>
    <w:rsid w:val="344634A2"/>
    <w:rsid w:val="3DE63740"/>
    <w:rsid w:val="481351D2"/>
    <w:rsid w:val="4D9E0FA4"/>
    <w:rsid w:val="53543565"/>
    <w:rsid w:val="558A062C"/>
    <w:rsid w:val="56C82C85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2023-12-28T10:52:00Z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2052-12.1.0.15990</vt:lpwstr>
  </property>
</Properties>
</file>