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585C" w:rsidRDefault="006E585C" w:rsidP="006E585C">
      <w:pPr>
        <w:spacing w:line="560" w:lineRule="exact"/>
        <w:jc w:val="center"/>
        <w:rPr>
          <w:rFonts w:ascii="宋体" w:eastAsia="宋体" w:hAnsi="宋体" w:cs="宋体"/>
          <w:spacing w:val="0"/>
          <w:szCs w:val="32"/>
        </w:rPr>
      </w:pPr>
    </w:p>
    <w:p w:rsidR="006E585C" w:rsidRPr="00CD18E0" w:rsidRDefault="006E585C" w:rsidP="006E585C">
      <w:pPr>
        <w:spacing w:line="560" w:lineRule="exact"/>
        <w:jc w:val="center"/>
        <w:rPr>
          <w:rFonts w:ascii="宋体" w:eastAsia="宋体" w:hAnsi="宋体" w:cs="宋体"/>
          <w:spacing w:val="0"/>
          <w:szCs w:val="32"/>
        </w:rPr>
      </w:pPr>
    </w:p>
    <w:p w:rsidR="0023730F" w:rsidRDefault="0023730F" w:rsidP="0023730F">
      <w:pPr>
        <w:adjustRightInd w:val="0"/>
        <w:snapToGrid w:val="0"/>
        <w:spacing w:line="360" w:lineRule="auto"/>
        <w:ind w:firstLineChars="300" w:firstLine="1338"/>
        <w:rPr>
          <w:rFonts w:asciiTheme="majorEastAsia" w:eastAsiaTheme="majorEastAsia" w:hAnsiTheme="majorEastAsia" w:hint="eastAsia"/>
          <w:spacing w:val="0"/>
          <w:sz w:val="44"/>
          <w:szCs w:val="44"/>
        </w:rPr>
      </w:pPr>
      <w:r w:rsidRPr="0023730F">
        <w:rPr>
          <w:rFonts w:asciiTheme="majorEastAsia" w:eastAsiaTheme="majorEastAsia" w:hAnsiTheme="majorEastAsia" w:hint="eastAsia"/>
          <w:spacing w:val="0"/>
          <w:sz w:val="44"/>
          <w:szCs w:val="44"/>
        </w:rPr>
        <w:t>浙江省人民代表大会常务委员会</w:t>
      </w:r>
    </w:p>
    <w:p w:rsidR="0023730F" w:rsidRDefault="0023730F" w:rsidP="0023730F">
      <w:pPr>
        <w:adjustRightInd w:val="0"/>
        <w:snapToGrid w:val="0"/>
        <w:spacing w:line="360" w:lineRule="auto"/>
        <w:ind w:firstLineChars="200" w:firstLine="892"/>
        <w:rPr>
          <w:rFonts w:asciiTheme="majorEastAsia" w:eastAsiaTheme="majorEastAsia" w:hAnsiTheme="majorEastAsia" w:hint="eastAsia"/>
          <w:spacing w:val="0"/>
          <w:sz w:val="44"/>
          <w:szCs w:val="44"/>
        </w:rPr>
      </w:pPr>
      <w:r w:rsidRPr="0023730F">
        <w:rPr>
          <w:rFonts w:asciiTheme="majorEastAsia" w:eastAsiaTheme="majorEastAsia" w:hAnsiTheme="majorEastAsia" w:hint="eastAsia"/>
          <w:spacing w:val="0"/>
          <w:sz w:val="44"/>
          <w:szCs w:val="44"/>
        </w:rPr>
        <w:t>关于促进和</w:t>
      </w:r>
      <w:proofErr w:type="gramStart"/>
      <w:r w:rsidRPr="0023730F">
        <w:rPr>
          <w:rFonts w:asciiTheme="majorEastAsia" w:eastAsiaTheme="majorEastAsia" w:hAnsiTheme="majorEastAsia" w:hint="eastAsia"/>
          <w:spacing w:val="0"/>
          <w:sz w:val="44"/>
          <w:szCs w:val="44"/>
        </w:rPr>
        <w:t>保障长</w:t>
      </w:r>
      <w:proofErr w:type="gramEnd"/>
      <w:r w:rsidRPr="0023730F">
        <w:rPr>
          <w:rFonts w:asciiTheme="majorEastAsia" w:eastAsiaTheme="majorEastAsia" w:hAnsiTheme="majorEastAsia" w:hint="eastAsia"/>
          <w:spacing w:val="0"/>
          <w:sz w:val="44"/>
          <w:szCs w:val="44"/>
        </w:rPr>
        <w:t>三角生态绿色一体化</w:t>
      </w:r>
    </w:p>
    <w:p w:rsidR="0023730F" w:rsidRDefault="0023730F" w:rsidP="0023730F">
      <w:pPr>
        <w:adjustRightInd w:val="0"/>
        <w:snapToGrid w:val="0"/>
        <w:spacing w:line="360" w:lineRule="auto"/>
        <w:ind w:firstLineChars="300" w:firstLine="1338"/>
        <w:rPr>
          <w:rFonts w:asciiTheme="majorEastAsia" w:eastAsiaTheme="majorEastAsia" w:hAnsiTheme="majorEastAsia" w:hint="eastAsia"/>
          <w:spacing w:val="0"/>
          <w:sz w:val="44"/>
          <w:szCs w:val="44"/>
        </w:rPr>
      </w:pPr>
      <w:r w:rsidRPr="0023730F">
        <w:rPr>
          <w:rFonts w:asciiTheme="majorEastAsia" w:eastAsiaTheme="majorEastAsia" w:hAnsiTheme="majorEastAsia" w:hint="eastAsia"/>
          <w:spacing w:val="0"/>
          <w:sz w:val="44"/>
          <w:szCs w:val="44"/>
        </w:rPr>
        <w:t>发展示范区建设若干问题的决定</w:t>
      </w:r>
    </w:p>
    <w:p w:rsidR="0023730F" w:rsidRDefault="0023730F" w:rsidP="0023730F">
      <w:pPr>
        <w:adjustRightInd w:val="0"/>
        <w:snapToGrid w:val="0"/>
        <w:spacing w:line="360" w:lineRule="auto"/>
        <w:ind w:firstLineChars="200" w:firstLine="628"/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</w:pPr>
    </w:p>
    <w:p w:rsidR="002330AE" w:rsidRPr="002330AE" w:rsidRDefault="00F16656" w:rsidP="0023730F">
      <w:pPr>
        <w:adjustRightInd w:val="0"/>
        <w:snapToGrid w:val="0"/>
        <w:spacing w:line="360" w:lineRule="auto"/>
        <w:ind w:firstLineChars="200" w:firstLine="628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 w:rsidRPr="00F16656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</w:t>
      </w:r>
      <w:r w:rsidR="002330AE" w:rsidRPr="002330AE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2020年</w:t>
      </w:r>
      <w:r w:rsidR="0093795B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9</w:t>
      </w:r>
      <w:r w:rsidR="002330AE" w:rsidRPr="002330AE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月</w:t>
      </w:r>
      <w:r w:rsidR="0093795B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24</w:t>
      </w:r>
      <w:r w:rsidR="002330AE" w:rsidRPr="002330AE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日浙江省第十三届人民代表大会</w:t>
      </w:r>
    </w:p>
    <w:p w:rsidR="006E585C" w:rsidRDefault="0093795B" w:rsidP="002330AE">
      <w:pPr>
        <w:adjustRightInd w:val="0"/>
        <w:snapToGrid w:val="0"/>
        <w:spacing w:line="360" w:lineRule="auto"/>
        <w:ind w:firstLineChars="200" w:firstLine="628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常务委员会第二十四</w:t>
      </w:r>
      <w:r w:rsidR="002330AE" w:rsidRPr="002330AE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次会议通过</w:t>
      </w:r>
      <w:r w:rsidR="00F16656" w:rsidRPr="00F16656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）</w:t>
      </w:r>
    </w:p>
    <w:p w:rsidR="00F16656" w:rsidRDefault="00F16656" w:rsidP="00F16656">
      <w:pPr>
        <w:adjustRightInd w:val="0"/>
        <w:snapToGrid w:val="0"/>
        <w:spacing w:line="360" w:lineRule="auto"/>
        <w:ind w:firstLineChars="200" w:firstLine="636"/>
        <w:rPr>
          <w:rFonts w:ascii="黑体" w:eastAsia="黑体" w:hAnsi="黑体" w:hint="eastAsia"/>
          <w:spacing w:val="-4"/>
          <w:szCs w:val="32"/>
        </w:rPr>
      </w:pPr>
    </w:p>
    <w:p w:rsidR="0023730F" w:rsidRDefault="0023730F" w:rsidP="0023730F">
      <w:pPr>
        <w:ind w:firstLineChars="200" w:firstLine="628"/>
      </w:pPr>
      <w:r>
        <w:rPr>
          <w:rFonts w:hint="eastAsia"/>
        </w:rPr>
        <w:t>实施长江三角洲区域（以下简称长三角）一体化发展国家战略，是以习近平同志为核心的党中央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大决策部署。建设长三角生态绿色一体化发展示范区（以下简称示范区）是实施长三角一体化发展战略的先手棋和突破口。为了促进和保障示范区建设，实现共商、共建、共管、共享、共赢，全面建设成为示范引领长三角更高质量一体化发展的标杆，浙江省人民代表大会常务委员会会同上海市、江苏省人民代表大会常务委员会共同研究，特作如下决定：</w:t>
      </w:r>
    </w:p>
    <w:p w:rsidR="0023730F" w:rsidRDefault="0023730F" w:rsidP="0023730F">
      <w:pPr>
        <w:ind w:firstLineChars="200" w:firstLine="628"/>
      </w:pPr>
      <w:r w:rsidRPr="0023730F">
        <w:rPr>
          <w:rFonts w:ascii="黑体" w:eastAsia="黑体" w:hAnsi="黑体" w:hint="eastAsia"/>
        </w:rPr>
        <w:t>一、</w:t>
      </w:r>
      <w:r>
        <w:rPr>
          <w:rFonts w:hint="eastAsia"/>
        </w:rPr>
        <w:t>示范区建设要全面贯彻国务院批复的《长三角生态绿色一体化发展示范区总体方案》（以下简称《总体方案》），坚持新发展理念，不破行政隶属、打破行政边界，率先探索将生态优</w:t>
      </w:r>
      <w:r>
        <w:rPr>
          <w:rFonts w:hint="eastAsia"/>
        </w:rPr>
        <w:lastRenderedPageBreak/>
        <w:t>势转化为经济社会发展优势、从区域项目协同走向区域一体化制度创新，实现绿色经济、高品质生活、可持续发展的有机统一。</w:t>
      </w:r>
    </w:p>
    <w:p w:rsidR="0023730F" w:rsidRDefault="0023730F" w:rsidP="0023730F">
      <w:pPr>
        <w:ind w:firstLineChars="200" w:firstLine="628"/>
      </w:pPr>
      <w:r w:rsidRPr="0023730F">
        <w:rPr>
          <w:rFonts w:ascii="黑体" w:eastAsia="黑体" w:hAnsi="黑体" w:hint="eastAsia"/>
        </w:rPr>
        <w:t>二、</w:t>
      </w:r>
      <w:r>
        <w:rPr>
          <w:rFonts w:hint="eastAsia"/>
        </w:rPr>
        <w:t>示范区和示范区先行启动区的范围依照《总体方案》确定。</w:t>
      </w:r>
    </w:p>
    <w:p w:rsidR="0023730F" w:rsidRDefault="0023730F" w:rsidP="0023730F">
      <w:pPr>
        <w:ind w:firstLineChars="200" w:firstLine="628"/>
      </w:pPr>
      <w:r w:rsidRPr="0023730F">
        <w:rPr>
          <w:rFonts w:ascii="黑体" w:eastAsia="黑体" w:hAnsi="黑体" w:hint="eastAsia"/>
        </w:rPr>
        <w:t>三、</w:t>
      </w:r>
      <w:r>
        <w:rPr>
          <w:rFonts w:hint="eastAsia"/>
        </w:rPr>
        <w:t>浙江省会同上海市、江苏省（以下简称两省一市）联合成立的示范区理事会，作为示范区建设重要事项的决策平台，负责研究确定示范区建设的发展规划、改革事项和支持政策，协调推进重大项目。</w:t>
      </w:r>
    </w:p>
    <w:p w:rsidR="0023730F" w:rsidRDefault="0023730F" w:rsidP="0023730F">
      <w:r>
        <w:rPr>
          <w:rFonts w:hint="eastAsia"/>
        </w:rPr>
        <w:t xml:space="preserve">　</w:t>
      </w:r>
      <w:r w:rsidRPr="0023730F">
        <w:rPr>
          <w:rFonts w:hint="eastAsia"/>
          <w:b/>
        </w:rPr>
        <w:t xml:space="preserve">　四、</w:t>
      </w:r>
      <w:r>
        <w:rPr>
          <w:rFonts w:hint="eastAsia"/>
        </w:rPr>
        <w:t>两省一市共同设立的示范区执行委员会（以下简称示范区执委会），作为示范区开发建设管理机构，负责示范区发展规划、制度创新、改革事项、重大项目和支持政策的研究拟订和推进实施，重点推动先行启动区相关功能建设。</w:t>
      </w:r>
    </w:p>
    <w:p w:rsidR="0023730F" w:rsidRDefault="0023730F" w:rsidP="0023730F">
      <w:r>
        <w:rPr>
          <w:rFonts w:hint="eastAsia"/>
        </w:rPr>
        <w:t xml:space="preserve">　　示范区执委会应当加强统筹协调，推动两省一市相关部门和相关地区人民政府落实示范区各项政策、措施。</w:t>
      </w:r>
    </w:p>
    <w:p w:rsidR="0023730F" w:rsidRDefault="0023730F" w:rsidP="0023730F"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ascii="黑体" w:eastAsia="黑体" w:hAnsi="黑体" w:hint="eastAsia"/>
        </w:rPr>
        <w:t xml:space="preserve"> </w:t>
      </w:r>
      <w:r w:rsidRPr="0023730F">
        <w:rPr>
          <w:rFonts w:ascii="黑体" w:eastAsia="黑体" w:hAnsi="黑体" w:hint="eastAsia"/>
        </w:rPr>
        <w:t>五、</w:t>
      </w:r>
      <w:r>
        <w:rPr>
          <w:rFonts w:hint="eastAsia"/>
        </w:rPr>
        <w:t>示范区执委会根据本决定授权，行使省级项目管理权限，按照两省一市人民政府有关规定统一管理跨区域项目，负责先行启动区内除国家另有规定以外的跨区域投资项目的审批、核准和备案管理，联合上海市青浦区、江苏省苏州市吴江区、浙江省嘉善县人民政府行使先行启动区控制性详细规划的审批权。</w:t>
      </w:r>
    </w:p>
    <w:p w:rsidR="0023730F" w:rsidRDefault="0023730F" w:rsidP="0023730F">
      <w:r>
        <w:rPr>
          <w:rFonts w:hint="eastAsia"/>
        </w:rPr>
        <w:t xml:space="preserve">   </w:t>
      </w:r>
      <w:r w:rsidRPr="0023730F">
        <w:rPr>
          <w:rFonts w:ascii="黑体" w:eastAsia="黑体" w:hAnsi="黑体" w:hint="eastAsia"/>
        </w:rPr>
        <w:t xml:space="preserve"> 六、</w:t>
      </w:r>
      <w:r>
        <w:rPr>
          <w:rFonts w:hint="eastAsia"/>
        </w:rPr>
        <w:t>省人民政府、嘉兴市人民政府应当加大对示范区建设的支持力度，加强工作统筹推进，在改革集成、资金投入、项目安排、资源配置等方面形成政策合力。</w:t>
      </w:r>
    </w:p>
    <w:p w:rsidR="0023730F" w:rsidRDefault="0023730F" w:rsidP="0023730F">
      <w:r>
        <w:rPr>
          <w:rFonts w:hint="eastAsia"/>
        </w:rPr>
        <w:lastRenderedPageBreak/>
        <w:t xml:space="preserve">　　嘉善县人民政府及有关部门应当落实国家、本省和嘉兴市有关示范区建设的工作部署，积极配合示范区执委会开展相关工作，确保示范区各项建设工作有序推进。</w:t>
      </w:r>
    </w:p>
    <w:p w:rsidR="0023730F" w:rsidRDefault="0023730F" w:rsidP="0023730F">
      <w:r>
        <w:rPr>
          <w:rFonts w:hint="eastAsia"/>
        </w:rPr>
        <w:t xml:space="preserve">　</w:t>
      </w:r>
      <w:bookmarkStart w:id="0" w:name="_GoBack"/>
      <w:r w:rsidRPr="0023730F">
        <w:rPr>
          <w:rFonts w:ascii="黑体" w:eastAsia="黑体" w:hAnsi="黑体" w:hint="eastAsia"/>
        </w:rPr>
        <w:t xml:space="preserve">　七、</w:t>
      </w:r>
      <w:bookmarkEnd w:id="0"/>
      <w:r>
        <w:rPr>
          <w:rFonts w:hint="eastAsia"/>
        </w:rPr>
        <w:t>在示范区内，本省地方性法规的规定，凡与《总体方案》不一致，需要调整实施的，由省人民代表大会常务委员会依法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决定。</w:t>
      </w:r>
    </w:p>
    <w:p w:rsidR="0023730F" w:rsidRDefault="0023730F" w:rsidP="0023730F">
      <w:r>
        <w:rPr>
          <w:rFonts w:hint="eastAsia"/>
        </w:rPr>
        <w:t xml:space="preserve">　　因示范区一体化制度创新、重大改革集成等举措，需要暂时调整或者暂时停止实施本省地方性法规的，示范区执委会可以向省人民代表大会常务委员会提出建议，由省人民代表大会常务委员会依法决定。</w:t>
      </w:r>
    </w:p>
    <w:p w:rsidR="0023730F" w:rsidRDefault="0023730F" w:rsidP="0023730F">
      <w:r>
        <w:rPr>
          <w:rFonts w:hint="eastAsia"/>
        </w:rPr>
        <w:t xml:space="preserve">　　本决定自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p w:rsidR="0023730F" w:rsidRDefault="0023730F" w:rsidP="0023730F"/>
    <w:p w:rsidR="0023730F" w:rsidRPr="0023730F" w:rsidRDefault="0023730F" w:rsidP="00F16656">
      <w:pPr>
        <w:adjustRightInd w:val="0"/>
        <w:snapToGrid w:val="0"/>
        <w:spacing w:line="360" w:lineRule="auto"/>
        <w:ind w:firstLineChars="200" w:firstLine="636"/>
        <w:rPr>
          <w:rFonts w:ascii="黑体" w:eastAsia="黑体" w:hAnsi="黑体"/>
          <w:spacing w:val="-4"/>
          <w:szCs w:val="32"/>
        </w:rPr>
      </w:pPr>
    </w:p>
    <w:sectPr w:rsidR="0023730F" w:rsidRPr="0023730F" w:rsidSect="00D57722">
      <w:footerReference w:type="even" r:id="rId10"/>
      <w:footerReference w:type="default" r:id="rId11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178" w:rsidRDefault="00D03178" w:rsidP="00D57722">
      <w:pPr>
        <w:spacing w:line="240" w:lineRule="auto"/>
      </w:pPr>
      <w:r>
        <w:separator/>
      </w:r>
    </w:p>
  </w:endnote>
  <w:endnote w:type="continuationSeparator" w:id="0">
    <w:p w:rsidR="00D03178" w:rsidRDefault="00D03178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23730F">
      <w:rPr>
        <w:rStyle w:val="a6"/>
        <w:rFonts w:ascii="宋体" w:eastAsia="宋体" w:hAnsi="宋体"/>
        <w:noProof/>
        <w:sz w:val="28"/>
      </w:rPr>
      <w:t>2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23730F" w:rsidRPr="0023730F">
      <w:rPr>
        <w:noProof/>
      </w:rPr>
      <w:t>3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178" w:rsidRDefault="00D03178" w:rsidP="00D57722">
      <w:pPr>
        <w:spacing w:line="240" w:lineRule="auto"/>
      </w:pPr>
      <w:r>
        <w:separator/>
      </w:r>
    </w:p>
  </w:footnote>
  <w:footnote w:type="continuationSeparator" w:id="0">
    <w:p w:rsidR="00D03178" w:rsidRDefault="00D03178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abstractNum w:abstractNumId="1">
    <w:nsid w:val="038F2EF1"/>
    <w:multiLevelType w:val="hybridMultilevel"/>
    <w:tmpl w:val="F5429046"/>
    <w:lvl w:ilvl="0" w:tplc="908A80A0">
      <w:start w:val="1"/>
      <w:numFmt w:val="japaneseCounting"/>
      <w:lvlText w:val="第%1章"/>
      <w:lvlJc w:val="left"/>
      <w:pPr>
        <w:ind w:left="1344" w:hanging="13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FB0A6B"/>
    <w:multiLevelType w:val="hybridMultilevel"/>
    <w:tmpl w:val="0E74D25A"/>
    <w:lvl w:ilvl="0" w:tplc="16E25A64">
      <w:start w:val="1"/>
      <w:numFmt w:val="japaneseCounting"/>
      <w:lvlText w:val="第%1条"/>
      <w:lvlJc w:val="left"/>
      <w:pPr>
        <w:ind w:left="1872" w:hanging="1248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3">
    <w:nsid w:val="23163346"/>
    <w:multiLevelType w:val="hybridMultilevel"/>
    <w:tmpl w:val="E92CD364"/>
    <w:lvl w:ilvl="0" w:tplc="8B884942">
      <w:start w:val="1"/>
      <w:numFmt w:val="japaneseCounting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>
    <w:nsid w:val="2AC7587F"/>
    <w:multiLevelType w:val="hybridMultilevel"/>
    <w:tmpl w:val="0136BD78"/>
    <w:lvl w:ilvl="0" w:tplc="A8FE92EC">
      <w:start w:val="1"/>
      <w:numFmt w:val="japaneseCounting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5">
    <w:nsid w:val="2F5223A7"/>
    <w:multiLevelType w:val="hybridMultilevel"/>
    <w:tmpl w:val="90F2F8BA"/>
    <w:lvl w:ilvl="0" w:tplc="26C4AEE8">
      <w:start w:val="1"/>
      <w:numFmt w:val="japaneseCounting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>
    <w:nsid w:val="3C430805"/>
    <w:multiLevelType w:val="hybridMultilevel"/>
    <w:tmpl w:val="4ED8062C"/>
    <w:lvl w:ilvl="0" w:tplc="9B7AFC9A">
      <w:start w:val="5"/>
      <w:numFmt w:val="japaneseCounting"/>
      <w:lvlText w:val="（%1）"/>
      <w:lvlJc w:val="left"/>
      <w:pPr>
        <w:ind w:left="170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abstractNum w:abstractNumId="7">
    <w:nsid w:val="4355528B"/>
    <w:multiLevelType w:val="hybridMultilevel"/>
    <w:tmpl w:val="EFC8964C"/>
    <w:lvl w:ilvl="0" w:tplc="FD1CA4C6">
      <w:start w:val="1"/>
      <w:numFmt w:val="japaneseCounting"/>
      <w:lvlText w:val="第%1条"/>
      <w:lvlJc w:val="left"/>
      <w:pPr>
        <w:ind w:left="1956" w:hanging="1308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abstractNum w:abstractNumId="8">
    <w:nsid w:val="5D2F131D"/>
    <w:multiLevelType w:val="hybridMultilevel"/>
    <w:tmpl w:val="FD22BECC"/>
    <w:lvl w:ilvl="0" w:tplc="C4A69358">
      <w:start w:val="1"/>
      <w:numFmt w:val="japaneseCounting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9">
    <w:nsid w:val="66A754BA"/>
    <w:multiLevelType w:val="hybridMultilevel"/>
    <w:tmpl w:val="2EE0A0F6"/>
    <w:lvl w:ilvl="0" w:tplc="4DF4FB32">
      <w:start w:val="4"/>
      <w:numFmt w:val="japaneseCounting"/>
      <w:lvlText w:val="（%1）"/>
      <w:lvlJc w:val="left"/>
      <w:pPr>
        <w:ind w:left="170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8" w:hanging="420"/>
      </w:pPr>
    </w:lvl>
    <w:lvl w:ilvl="2" w:tplc="0409001B" w:tentative="1">
      <w:start w:val="1"/>
      <w:numFmt w:val="lowerRoman"/>
      <w:lvlText w:val="%3."/>
      <w:lvlJc w:val="right"/>
      <w:pPr>
        <w:ind w:left="1888" w:hanging="420"/>
      </w:pPr>
    </w:lvl>
    <w:lvl w:ilvl="3" w:tplc="0409000F" w:tentative="1">
      <w:start w:val="1"/>
      <w:numFmt w:val="decimal"/>
      <w:lvlText w:val="%4."/>
      <w:lvlJc w:val="left"/>
      <w:pPr>
        <w:ind w:left="2308" w:hanging="420"/>
      </w:pPr>
    </w:lvl>
    <w:lvl w:ilvl="4" w:tplc="04090019" w:tentative="1">
      <w:start w:val="1"/>
      <w:numFmt w:val="lowerLetter"/>
      <w:lvlText w:val="%5)"/>
      <w:lvlJc w:val="left"/>
      <w:pPr>
        <w:ind w:left="2728" w:hanging="420"/>
      </w:pPr>
    </w:lvl>
    <w:lvl w:ilvl="5" w:tplc="0409001B" w:tentative="1">
      <w:start w:val="1"/>
      <w:numFmt w:val="lowerRoman"/>
      <w:lvlText w:val="%6."/>
      <w:lvlJc w:val="right"/>
      <w:pPr>
        <w:ind w:left="3148" w:hanging="420"/>
      </w:pPr>
    </w:lvl>
    <w:lvl w:ilvl="6" w:tplc="0409000F" w:tentative="1">
      <w:start w:val="1"/>
      <w:numFmt w:val="decimal"/>
      <w:lvlText w:val="%7."/>
      <w:lvlJc w:val="left"/>
      <w:pPr>
        <w:ind w:left="3568" w:hanging="420"/>
      </w:pPr>
    </w:lvl>
    <w:lvl w:ilvl="7" w:tplc="04090019" w:tentative="1">
      <w:start w:val="1"/>
      <w:numFmt w:val="lowerLetter"/>
      <w:lvlText w:val="%8)"/>
      <w:lvlJc w:val="left"/>
      <w:pPr>
        <w:ind w:left="3988" w:hanging="420"/>
      </w:pPr>
    </w:lvl>
    <w:lvl w:ilvl="8" w:tplc="0409001B" w:tentative="1">
      <w:start w:val="1"/>
      <w:numFmt w:val="lowerRoman"/>
      <w:lvlText w:val="%9."/>
      <w:lvlJc w:val="right"/>
      <w:pPr>
        <w:ind w:left="4408" w:hanging="420"/>
      </w:pPr>
    </w:lvl>
  </w:abstractNum>
  <w:abstractNum w:abstractNumId="10">
    <w:nsid w:val="67A908E0"/>
    <w:multiLevelType w:val="hybridMultilevel"/>
    <w:tmpl w:val="E21CF7AC"/>
    <w:lvl w:ilvl="0" w:tplc="575CF260">
      <w:start w:val="1"/>
      <w:numFmt w:val="japaneseCounting"/>
      <w:lvlText w:val="（%1）"/>
      <w:lvlJc w:val="left"/>
      <w:pPr>
        <w:ind w:left="172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8" w:hanging="420"/>
      </w:pPr>
    </w:lvl>
    <w:lvl w:ilvl="2" w:tplc="0409001B" w:tentative="1">
      <w:start w:val="1"/>
      <w:numFmt w:val="lowerRoman"/>
      <w:lvlText w:val="%3."/>
      <w:lvlJc w:val="right"/>
      <w:pPr>
        <w:ind w:left="1908" w:hanging="420"/>
      </w:pPr>
    </w:lvl>
    <w:lvl w:ilvl="3" w:tplc="0409000F" w:tentative="1">
      <w:start w:val="1"/>
      <w:numFmt w:val="decimal"/>
      <w:lvlText w:val="%4."/>
      <w:lvlJc w:val="left"/>
      <w:pPr>
        <w:ind w:left="2328" w:hanging="420"/>
      </w:pPr>
    </w:lvl>
    <w:lvl w:ilvl="4" w:tplc="04090019" w:tentative="1">
      <w:start w:val="1"/>
      <w:numFmt w:val="lowerLetter"/>
      <w:lvlText w:val="%5)"/>
      <w:lvlJc w:val="left"/>
      <w:pPr>
        <w:ind w:left="2748" w:hanging="420"/>
      </w:pPr>
    </w:lvl>
    <w:lvl w:ilvl="5" w:tplc="0409001B" w:tentative="1">
      <w:start w:val="1"/>
      <w:numFmt w:val="lowerRoman"/>
      <w:lvlText w:val="%6."/>
      <w:lvlJc w:val="right"/>
      <w:pPr>
        <w:ind w:left="3168" w:hanging="420"/>
      </w:pPr>
    </w:lvl>
    <w:lvl w:ilvl="6" w:tplc="0409000F" w:tentative="1">
      <w:start w:val="1"/>
      <w:numFmt w:val="decimal"/>
      <w:lvlText w:val="%7."/>
      <w:lvlJc w:val="left"/>
      <w:pPr>
        <w:ind w:left="3588" w:hanging="420"/>
      </w:pPr>
    </w:lvl>
    <w:lvl w:ilvl="7" w:tplc="04090019" w:tentative="1">
      <w:start w:val="1"/>
      <w:numFmt w:val="lowerLetter"/>
      <w:lvlText w:val="%8)"/>
      <w:lvlJc w:val="left"/>
      <w:pPr>
        <w:ind w:left="4008" w:hanging="420"/>
      </w:pPr>
    </w:lvl>
    <w:lvl w:ilvl="8" w:tplc="0409001B" w:tentative="1">
      <w:start w:val="1"/>
      <w:numFmt w:val="lowerRoman"/>
      <w:lvlText w:val="%9."/>
      <w:lvlJc w:val="right"/>
      <w:pPr>
        <w:ind w:left="4428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12509"/>
    <w:rsid w:val="00071F92"/>
    <w:rsid w:val="000A30AE"/>
    <w:rsid w:val="000B718B"/>
    <w:rsid w:val="00140B8B"/>
    <w:rsid w:val="00177AB0"/>
    <w:rsid w:val="00185477"/>
    <w:rsid w:val="00195369"/>
    <w:rsid w:val="001B173E"/>
    <w:rsid w:val="002330AE"/>
    <w:rsid w:val="0023730F"/>
    <w:rsid w:val="0025241B"/>
    <w:rsid w:val="003076A5"/>
    <w:rsid w:val="00325CCF"/>
    <w:rsid w:val="00326B76"/>
    <w:rsid w:val="00345CF4"/>
    <w:rsid w:val="00351D20"/>
    <w:rsid w:val="00354CAA"/>
    <w:rsid w:val="00443EC5"/>
    <w:rsid w:val="00471C2E"/>
    <w:rsid w:val="004A2012"/>
    <w:rsid w:val="00555C79"/>
    <w:rsid w:val="0055646D"/>
    <w:rsid w:val="005D1282"/>
    <w:rsid w:val="005D6772"/>
    <w:rsid w:val="00664B93"/>
    <w:rsid w:val="00673543"/>
    <w:rsid w:val="006844AE"/>
    <w:rsid w:val="00693CC7"/>
    <w:rsid w:val="006E585C"/>
    <w:rsid w:val="007072FA"/>
    <w:rsid w:val="007A02F1"/>
    <w:rsid w:val="007C6B43"/>
    <w:rsid w:val="007E7972"/>
    <w:rsid w:val="0081294D"/>
    <w:rsid w:val="00821AE1"/>
    <w:rsid w:val="00854221"/>
    <w:rsid w:val="00881273"/>
    <w:rsid w:val="0089292F"/>
    <w:rsid w:val="008A579E"/>
    <w:rsid w:val="0093795B"/>
    <w:rsid w:val="009F46E8"/>
    <w:rsid w:val="00A0649E"/>
    <w:rsid w:val="00AA4897"/>
    <w:rsid w:val="00AE3598"/>
    <w:rsid w:val="00B26CB1"/>
    <w:rsid w:val="00B57C35"/>
    <w:rsid w:val="00BC69E5"/>
    <w:rsid w:val="00C26BE1"/>
    <w:rsid w:val="00C53B1D"/>
    <w:rsid w:val="00C971A5"/>
    <w:rsid w:val="00CD6B1A"/>
    <w:rsid w:val="00D03178"/>
    <w:rsid w:val="00D41F28"/>
    <w:rsid w:val="00D57722"/>
    <w:rsid w:val="00D770C9"/>
    <w:rsid w:val="00DB1A8B"/>
    <w:rsid w:val="00DF139B"/>
    <w:rsid w:val="00DF2D58"/>
    <w:rsid w:val="00DF69CD"/>
    <w:rsid w:val="00E74C30"/>
    <w:rsid w:val="00E80664"/>
    <w:rsid w:val="00F16656"/>
    <w:rsid w:val="00F44037"/>
    <w:rsid w:val="00F51BDE"/>
    <w:rsid w:val="00F912FC"/>
    <w:rsid w:val="00FD5D6F"/>
    <w:rsid w:val="00FF61EA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  <w:style w:type="paragraph" w:styleId="aa">
    <w:name w:val="List Paragraph"/>
    <w:basedOn w:val="a0"/>
    <w:uiPriority w:val="99"/>
    <w:unhideWhenUsed/>
    <w:rsid w:val="004A20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A5132B-05C3-427C-BBE0-A092F3DD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235</TotalTime>
  <Pages>3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lenovo727</cp:lastModifiedBy>
  <cp:revision>39</cp:revision>
  <dcterms:created xsi:type="dcterms:W3CDTF">2017-01-11T09:18:00Z</dcterms:created>
  <dcterms:modified xsi:type="dcterms:W3CDTF">2020-09-27T08:56:00Z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