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ackground w:color="FFFFFF"/>
  <w:body>
    <w:p>
      <w:pPr>
        <w:jc w:val="center"/>
        <w:rPr>
          <w:rFonts w:ascii="宋体" w:eastAsia="宋体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spacing w:line="560" w:lineRule="exact"/>
        <w:ind w:leftChars="200" w:left="628" w:rightChars="200" w:right="628"/>
        <w:jc w:val="center"/>
        <w:rPr>
          <w:rFonts w:ascii="宋体" w:eastAsia="宋体" w:cs="楷体_GB2312" w:hint="eastAsia"/>
          <w:spacing w:val="0"/>
          <w:sz w:val="44"/>
          <w:szCs w:val="44"/>
          <w:shd w:val="clear" w:color="auto" w:fill="auto"/>
        </w:rPr>
      </w:pPr>
      <w:r>
        <w:rPr>
          <w:rFonts w:ascii="宋体" w:eastAsia="宋体" w:cs="楷体_GB2312" w:hint="eastAsia"/>
          <w:spacing w:val="0"/>
          <w:sz w:val="44"/>
          <w:szCs w:val="44"/>
          <w:shd w:val="clear" w:color="auto" w:fill="auto"/>
        </w:rPr>
        <w:t>浙江省人民代表大会常务委员会</w:t>
      </w:r>
    </w:p>
    <w:p>
      <w:pPr>
        <w:spacing w:line="560" w:lineRule="exact"/>
        <w:ind w:leftChars="200" w:left="628" w:rightChars="200" w:right="628"/>
        <w:jc w:val="center"/>
        <w:rPr>
          <w:rFonts w:ascii="宋体" w:eastAsia="宋体" w:cs="楷体_GB2312" w:hint="eastAsia"/>
          <w:spacing w:val="0"/>
          <w:sz w:val="44"/>
          <w:szCs w:val="44"/>
          <w:shd w:val="clear" w:color="auto" w:fill="auto"/>
        </w:rPr>
      </w:pPr>
      <w:r>
        <w:rPr>
          <w:rFonts w:ascii="宋体" w:eastAsia="宋体" w:cs="楷体_GB2312" w:hint="eastAsia"/>
          <w:spacing w:val="0"/>
          <w:sz w:val="44"/>
          <w:szCs w:val="44"/>
          <w:shd w:val="clear" w:color="auto" w:fill="auto"/>
        </w:rPr>
        <w:t>关于契税具体适用税率等事项的决定</w:t>
      </w:r>
    </w:p>
    <w:p>
      <w:pPr>
        <w:jc w:val="center"/>
        <w:rPr>
          <w:rFonts w:ascii="方正兰亭黑_GBK" w:eastAsia="楷体_GB2312" w:hAnsi="方正兰亭黑_GBK"/>
        </w:rPr>
      </w:pPr>
    </w:p>
    <w:p>
      <w:pPr>
        <w:jc w:val="center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（2021年7月30日浙江省第十三届人民代表大会</w:t>
      </w:r>
    </w:p>
    <w:p>
      <w:pPr>
        <w:jc w:val="center"/>
        <w:rPr>
          <w:rFonts w:ascii="黑体" w:eastAsia="黑体"/>
        </w:rPr>
      </w:pPr>
      <w:r>
        <w:rPr>
          <w:rFonts w:ascii="楷体_GB2312" w:eastAsia="楷体_GB2312" w:hint="eastAsia"/>
        </w:rPr>
        <w:t>常务委员会第三十次会议通过）</w:t>
      </w:r>
    </w:p>
    <w:p>
      <w:pPr>
        <w:ind w:left="0" w:firstLineChars="200" w:firstLine="628"/>
        <w:rPr>
          <w:rFonts w:ascii="仿宋_GB2312"/>
        </w:rPr>
      </w:pPr>
    </w:p>
    <w:p>
      <w:pPr>
        <w:ind w:left="0" w:firstLineChars="200" w:firstLine="628"/>
        <w:rPr>
          <w:rFonts w:ascii="仿宋_GB2312"/>
        </w:rPr>
      </w:pPr>
      <w:bookmarkStart w:id="0" w:name="_GoBack"/>
      <w:bookmarkEnd w:id="0"/>
      <w:r>
        <w:rPr>
          <w:rFonts w:ascii="仿宋_GB2312"/>
        </w:rPr>
        <w:t>根据《中华人民共和国契税法》规定，结合本省实际，对契税具体适用税率、免征或者减征办法作如下决定：</w:t>
      </w:r>
    </w:p>
    <w:p>
      <w:pPr>
        <w:ind w:left="0" w:firstLineChars="200" w:firstLine="628"/>
        <w:rPr>
          <w:rFonts w:ascii="仿宋_GB2312"/>
        </w:rPr>
      </w:pPr>
      <w:r>
        <w:rPr>
          <w:rFonts w:ascii="黑体" w:eastAsia="黑体" w:hint="eastAsia"/>
        </w:rPr>
        <w:t>一、</w:t>
      </w:r>
      <w:r>
        <w:rPr>
          <w:rFonts w:ascii="仿宋_GB2312"/>
        </w:rPr>
        <w:t>本省行政区域内契税的适用税率为百分之三。</w:t>
      </w:r>
    </w:p>
    <w:p>
      <w:pPr>
        <w:ind w:left="0" w:firstLineChars="200" w:firstLine="628"/>
        <w:rPr>
          <w:rFonts w:ascii="仿宋_GB2312"/>
        </w:rPr>
      </w:pPr>
      <w:r>
        <w:rPr>
          <w:rFonts w:ascii="黑体" w:eastAsia="黑体" w:hint="eastAsia"/>
        </w:rPr>
        <w:t>二、</w:t>
      </w:r>
      <w:r>
        <w:rPr>
          <w:rFonts w:ascii="仿宋_GB2312"/>
        </w:rPr>
        <w:t>符合《中华人民共和国契税法》第七条规定情形的，按照以下规定减征或者免征契税：</w:t>
      </w:r>
    </w:p>
    <w:p>
      <w:pPr>
        <w:ind w:left="0" w:firstLineChars="200" w:firstLine="628"/>
        <w:rPr>
          <w:rFonts w:ascii="仿宋_GB2312"/>
        </w:rPr>
      </w:pPr>
      <w:r>
        <w:rPr>
          <w:rFonts w:ascii="仿宋_GB2312"/>
        </w:rPr>
        <w:t>（一）土地、房屋被县级以上人民政府征收、征用，重新承受土地、房屋权属，选择货币补偿的，对成交价格不超出货币补偿部分免征契税，对超出部分减半征收契税；选择房屋产权调换、土地使用权置换且不支付差价的，免征契税，支付差价的，对差价部分减半征收契税；</w:t>
      </w:r>
    </w:p>
    <w:p>
      <w:pPr>
        <w:ind w:left="0" w:firstLineChars="200" w:firstLine="628"/>
        <w:rPr>
          <w:rFonts w:ascii="仿宋_GB2312"/>
        </w:rPr>
      </w:pPr>
      <w:r>
        <w:rPr>
          <w:rFonts w:ascii="仿宋_GB2312"/>
        </w:rPr>
        <w:t>（二）因不可抗力灭失住房，重新承受住房权属的，免征契税。</w:t>
      </w:r>
    </w:p>
    <w:p>
      <w:pPr>
        <w:ind w:left="0" w:firstLineChars="200" w:firstLine="628"/>
        <w:rPr>
          <w:rFonts w:ascii="仿宋_GB2312"/>
        </w:rPr>
      </w:pPr>
      <w:r>
        <w:rPr>
          <w:rFonts w:ascii="仿宋_GB2312"/>
        </w:rPr>
        <w:t>国家对减征或者免征契税另有规定的，从其规定。</w:t>
      </w:r>
    </w:p>
    <w:p>
      <w:pPr>
        <w:ind w:left="0" w:firstLineChars="200" w:firstLine="628"/>
        <w:rPr>
          <w:rFonts w:ascii="仿宋_GB2312" w:hint="eastAsia"/>
        </w:rPr>
      </w:pPr>
      <w:r>
        <w:rPr>
          <w:rFonts w:ascii="黑体" w:eastAsia="黑体" w:hint="eastAsia"/>
        </w:rPr>
        <w:t>三、</w:t>
      </w:r>
      <w:r>
        <w:rPr>
          <w:rFonts w:ascii="仿宋_GB2312"/>
        </w:rPr>
        <w:t>本决定自2021年9月1日起施行。</w:t>
      </w:r>
    </w:p>
    <w:sectPr>
      <w:footerReference w:type="default" r:id="rId2"/>
      <w:footerReference w:type="even" r:id="rId3"/>
      <w:pgSz w:w="11906" w:h="16838"/>
      <w:pgMar w:top="2013" w:right="1474" w:bottom="1899" w:left="1588" w:header="851" w:footer="1037" w:gutter="0"/>
      <w:docGrid w:type="linesAndChars" w:linePitch="590" w:charSpace="122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方正兰亭黑_GBK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永中楷体"/>
    <w:panose1 w:val="02010609030101010101"/>
    <w:charset w:val="86"/>
    <w:family w:val="modern"/>
    <w:pitch w:val="variable"/>
    <w:sig w:usb0="00000001" w:usb1="080E0000" w:usb2="00000010" w:usb3="00000000" w:csb0="00040000" w:csb1="00000000"/>
  </w:font>
  <w:font w:name="黑体">
    <w:altName w:val="方正兰亭黑_GBK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方正兰亭黑_GBK">
    <w:panose1 w:val="02000000000000000000"/>
    <w:charset w:val="86"/>
    <w:family w:val="script"/>
    <w:pitch w:val="variable"/>
    <w:sig w:usb0="A00002BF" w:usb1="3ACF7CFA" w:usb2="00080016" w:usb3="00000000" w:csb0="00040001" w:csb1="00000000"/>
  </w:font>
  <w:font w:name="仿宋_GB2312">
    <w:altName w:val="永中仿宋"/>
    <w:panose1 w:val="02010609030101010101"/>
    <w:charset w:val="86"/>
    <w:family w:val="modern"/>
    <w:pitch w:val="variable"/>
    <w:sig w:usb0="00000001" w:usb1="080E0000" w:usb2="00000010" w:usb3="00000000" w:csb0="00040000" w:csb1="00000000"/>
  </w:font>
  <w:font w:name="Times New Roman">
    <w:altName w:val="DejaVu San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方正黑体_GBK">
    <w:altName w:val="黑体"/>
    <w:panose1 w:val="00000000000000000000"/>
    <w:charset w:val="86"/>
    <w:family w:val="auto"/>
    <w:pitch w:val="variable"/>
    <w:sig w:usb0="00000000" w:usb1="00000000" w:usb2="00000000" w:usb3="00000000" w:csb0="0004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5"/>
      <w:tabs>
        <w:tab w:val="center" w:pos="4153"/>
        <w:tab w:val="right" w:pos="8306"/>
      </w:tabs>
      <w:wordWrap w:val="0"/>
      <w:overflowPunct w:val="0"/>
      <w:autoSpaceDE w:val="0"/>
      <w:autoSpaceDN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17"/>
        <w:rFonts w:ascii="宋体" w:eastAsia="宋体" w:hint="eastAsia"/>
        <w:sz w:val="28"/>
      </w:rPr>
      <w:t xml:space="preserve">— </w:t>
    </w:r>
    <w:r>
      <w:rPr>
        <w:rStyle w:val="17"/>
        <w:rFonts w:ascii="宋体" w:eastAsia="宋体" w:cs="宋体" w:hint="eastAsia"/>
        <w:sz w:val="28"/>
        <w:szCs w:val="28"/>
      </w:rPr>
      <w:fldChar w:fldCharType="begin"/>
    </w:r>
    <w:r>
      <w:rPr>
        <w:rStyle w:val="17"/>
        <w:rFonts w:ascii="宋体" w:eastAsia="宋体" w:cs="宋体" w:hint="eastAsia"/>
        <w:sz w:val="28"/>
        <w:szCs w:val="28"/>
      </w:rPr>
      <w:instrText xml:space="preserve"> PAGE \* MERGEFORMAT </w:instrText>
    </w:r>
    <w:r>
      <w:rPr>
        <w:rFonts w:ascii="宋体" w:eastAsia="宋体" w:cs="宋体" w:hint="eastAsia"/>
        <w:sz w:val="28"/>
        <w:szCs w:val="28"/>
      </w:rPr>
      <w:fldChar w:fldCharType="separate"/>
    </w:r>
    <w:r>
      <w:t>7</w:t>
    </w:r>
    <w:r>
      <w:rPr>
        <w:rFonts w:ascii="宋体" w:eastAsia="宋体" w:cs="宋体" w:hint="eastAsia"/>
        <w:sz w:val="28"/>
        <w:szCs w:val="28"/>
      </w:rPr>
      <w:fldChar w:fldCharType="end"/>
    </w:r>
    <w:r>
      <w:rPr>
        <w:rStyle w:val="17"/>
        <w:rFonts w:ascii="宋体" w:eastAsia="宋体" w:hint="eastAsia"/>
        <w:sz w:val="28"/>
      </w:rPr>
      <w:t>—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5"/>
      <w:tabs>
        <w:tab w:val="center" w:pos="4153"/>
        <w:tab w:val="right" w:pos="8306"/>
      </w:tabs>
      <w:spacing w:line="470" w:lineRule="auto"/>
      <w:ind w:leftChars="100" w:left="308"/>
      <w:jc w:val="left"/>
      <w:rPr>
        <w:rStyle w:val="17"/>
        <w:rFonts w:ascii="宋体" w:eastAsia="宋体"/>
        <w:sz w:val="28"/>
      </w:rPr>
    </w:pPr>
    <w:r>
      <w:rPr>
        <w:rStyle w:val="17"/>
        <w:rFonts w:ascii="宋体" w:eastAsia="宋体" w:hint="eastAsia"/>
        <w:sz w:val="28"/>
      </w:rPr>
      <w:t xml:space="preserve">— </w:t>
    </w:r>
    <w:r>
      <w:rPr>
        <w:rStyle w:val="17"/>
        <w:rFonts w:ascii="宋体" w:eastAsia="宋体" w:hint="eastAsia"/>
        <w:sz w:val="28"/>
      </w:rPr>
      <w:fldChar w:fldCharType="begin"/>
    </w:r>
    <w:r>
      <w:rPr>
        <w:rStyle w:val="17"/>
        <w:rFonts w:ascii="宋体" w:eastAsia="宋体" w:hint="eastAsia"/>
        <w:sz w:val="28"/>
      </w:rPr>
      <w:instrText xml:space="preserve"> PAGE </w:instrText>
    </w:r>
    <w:r>
      <w:rPr>
        <w:rFonts w:ascii="宋体" w:eastAsia="宋体" w:hint="eastAsia"/>
        <w:sz w:val="28"/>
      </w:rPr>
      <w:fldChar w:fldCharType="separate"/>
    </w:r>
    <w:r>
      <w:rPr>
        <w:rStyle w:val="17"/>
        <w:rFonts w:ascii="宋体" w:eastAsia="宋体"/>
        <w:sz w:val="28"/>
      </w:rPr>
      <w:t>8</w:t>
    </w:r>
    <w:r>
      <w:rPr>
        <w:rFonts w:ascii="宋体" w:eastAsia="宋体" w:hint="eastAsia"/>
        <w:sz w:val="28"/>
      </w:rPr>
      <w:fldChar w:fldCharType="end"/>
    </w:r>
    <w:r>
      <w:rPr>
        <w:rStyle w:val="17"/>
        <w:rFonts w:ascii="宋体" w:eastAsia="宋体" w:hint="eastAsia"/>
        <w:sz w:val="28"/>
      </w:rPr>
      <w:t>—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73EB1529"/>
    <w:multiLevelType w:val="multilevel"/>
    <w:tmpl w:val="00000009"/>
    <w:lvl w:ilvl="0">
      <w:start w:val="1"/>
      <w:numFmt w:val="chineseCountingThousand"/>
      <w:lvlRestart w:val="0"/>
      <w:pStyle w:val="21"/>
      <w:suff w:val="space"/>
      <w:lvlText w:val="第%1章"/>
      <w:lvlJc w:val="left"/>
      <w:pPr>
        <w:tabs>
          <w:tab w:val="num" w:pos="0"/>
        </w:tabs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tabs>
          <w:tab w:val="num" w:pos="0"/>
        </w:tabs>
        <w:ind w:left="0" w:hanging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tabs>
          <w:tab w:val="num" w:pos="0"/>
        </w:tabs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tabs>
          <w:tab w:val="num" w:pos="0"/>
        </w:tabs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tabs>
          <w:tab w:val="num" w:pos="0"/>
        </w:tabs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720"/>
  <w:evenAndOddHeaders/>
  <w:drawingGridHorizontalSpacing w:val="308"/>
  <w:drawingGridVerticalSpacing w:val="295"/>
  <w:displayHorizontalDrawingGridEvery w:val="0"/>
  <w:displayVerticalDrawingGridEvery w:val="1"/>
  <w:noPunctuationKerning/>
  <w:characterSpacingControl w:val="compressPunctuation"/>
  <w:compat>
    <w:spaceForUL/>
    <w:balanceSingleByteDoubleByteWidth/>
    <w:doNotExpandShiftReturn/>
    <w:adjustLineHeightInTable/>
    <w:compatSetting w:name="compatibilityMode" w:uri="http://schemas.microsoft.com/office/word" w:val="12"/>
  </w:compat>
  <w:docVars>
    <w:docVar w:name="iDocStyle" w:val="2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tLeast"/>
      <w:jc w:val="both"/>
    </w:pPr>
    <w:rPr>
      <w:rFonts w:ascii="Times New Roman" w:eastAsia="仿宋_GB2312" w:cs="Times New Roman" w:hAnsi="Times New Roman"/>
      <w:spacing w:val="-6"/>
      <w:kern w:val="2"/>
      <w:sz w:val="32"/>
      <w:szCs w:val="20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16">
    <w:name w:val="header"/>
    <w:basedOn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17">
    <w:name w:val="page number"/>
    <w:basedOn w:val="10"/>
  </w:style>
  <w:style w:type="character" w:styleId="18">
    <w:name w:val="FollowedHyperlink"/>
    <w:basedOn w:val="10"/>
    <w:rPr>
      <w:color w:val="800080"/>
      <w:sz w:val="18"/>
      <w:szCs w:val="18"/>
      <w:u w:val="none"/>
    </w:rPr>
  </w:style>
  <w:style w:type="character" w:styleId="19">
    <w:name w:val="line number"/>
    <w:basedOn w:val="10"/>
  </w:style>
  <w:style w:type="character" w:styleId="20">
    <w:name w:val="Hyperlink"/>
    <w:basedOn w:val="10"/>
    <w:rPr>
      <w:color w:val="0000FF"/>
      <w:sz w:val="18"/>
      <w:szCs w:val="18"/>
      <w:u w:val="none"/>
    </w:rPr>
  </w:style>
  <w:style w:type="paragraph" w:customStyle="1" w:styleId="21">
    <w:name w:val="居中"/>
    <w:basedOn w:val="0"/>
    <w:pPr>
      <w:numPr>
        <w:ilvl w:val="0"/>
        <w:numId w:val="1"/>
      </w:numPr>
    </w:pPr>
  </w:style>
  <w:style w:type="paragraph" w:customStyle="1" w:styleId="22">
    <w:name w:val="列出段落1"/>
    <w:basedOn w:val="0"/>
    <w:pPr>
      <w:ind w:firstLineChars="200" w:firstLine="200"/>
    </w:pPr>
  </w:style>
  <w:style w:type="character" w:customStyle="1" w:styleId="23">
    <w:name w:val="red"/>
    <w:basedOn w:val="10"/>
    <w:rPr>
      <w:color w:val="FF0000"/>
      <w:sz w:val="21"/>
      <w:szCs w:val="21"/>
    </w:rPr>
  </w:style>
  <w:style w:type="paragraph" w:styleId="24">
    <w:name w:val="Balloon Text"/>
    <w:basedOn w:val="0"/>
    <w:pPr>
      <w:spacing w:line="240" w:lineRule="auto"/>
    </w:pPr>
    <w:rPr>
      <w:sz w:val="18"/>
      <w:szCs w:val="18"/>
    </w:rPr>
  </w:style>
  <w:style w:type="paragraph" w:styleId="25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274</TotalTime>
  <Application>Yozo_Office27021597764231179</Application>
  <Pages>1</Pages>
  <Words>361</Words>
  <Characters>368</Characters>
  <Lines>22</Lines>
  <Paragraphs>11</Paragraphs>
  <CharactersWithSpaces>368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No:0000001</dc:title>
  <dc:creator>shy</dc:creator>
  <cp:lastModifiedBy>zjrd</cp:lastModifiedBy>
  <cp:revision>47</cp:revision>
  <cp:lastPrinted>2021-04-07T02:22:00Z</cp:lastPrinted>
  <dcterms:created xsi:type="dcterms:W3CDTF">2017-01-11T09:18:00Z</dcterms:created>
  <dcterms:modified xsi:type="dcterms:W3CDTF">2021-08-02T08:53:26Z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